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tbl>
      <w:tblPr>
        <w:tblStyle w:val="TableNormal"/>
        <w:tblpPr w:leftFromText="180" w:rightFromText="180" w:vertAnchor="text" w:horzAnchor="margin" w:tblpXSpec="center" w:tblpY="-1586"/>
        <w:tblW w:w="878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695"/>
        <w:gridCol w:w="709"/>
        <w:gridCol w:w="3685"/>
        <w:gridCol w:w="1560"/>
      </w:tblGrid>
      <w:tr>
        <w:tblPrEx>
          <w:tblW w:w="878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580" w:lineRule="exact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附件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/>
        </w:trPr>
        <w:tc>
          <w:tcPr>
            <w:tcW w:w="878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40"/>
                <w:szCs w:val="40"/>
              </w:rPr>
              <w:t>重点任务分工方案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7229" w:type="dxa"/>
            <w:gridSpan w:val="4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重点任务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牵头单位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/>
        </w:trPr>
        <w:tc>
          <w:tcPr>
            <w:tcW w:w="1140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二、健全绿色低碳循环发展的生产体系</w:t>
            </w: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二、健全绿色低碳循环发展的生产体系</w:t>
            </w: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二、健全绿色低碳循环发展的生产体系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宋体" w:hint="eastAsia"/>
                <w:color w:val="000000"/>
                <w:sz w:val="24"/>
                <w:szCs w:val="24"/>
              </w:rPr>
              <w:t>（三）推进工业绿色升级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巩固去产能成果，坚决遏制“两高”项目盲目发展。以钢铁、石化、化工、建材等行业为重点，大力实施工业节能低碳改造，加快推动制造业绿色升级。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市工业和信息化局、市发展和改革委员会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组织符合条件的企业、园区申报省级绿色工厂、绿色园区。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市工业和信息化局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引导汽车零部件、工程机械等领域再制造企业开展产品认证工作，加强宣传、推广和监督。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市市场监督管理局、市工业和信息化局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推进工业固废综合利用示范基地建设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市工业和信息化局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全面推行清洁生产，对“双超双有高耗能”和产废量超100吨企业实施强制性清洁生产审核。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市生态环境局、市发展和改革委员会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健全“散乱污”企业监管长效机制，夯实网格化管理，持续保持动态清零。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市生态环境局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加快实施排污许可制度，适时将碳排放许可纳入。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市生态环境局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加强工业生产过程中危险废物管理。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市生态环境局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宋体" w:hint="eastAsia"/>
                <w:color w:val="000000"/>
                <w:sz w:val="24"/>
                <w:szCs w:val="24"/>
              </w:rPr>
              <w:t>（四）加快农业绿色发展</w:t>
            </w:r>
          </w:p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（四）加快农业绿色发展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鼓励发展生态种植、生态养殖，打造绿色优质农产品，2025年“两品一标”认证产品达到400个。加大有机产品培育力度，强化有机产品认证工作，加强有机产品认证监管，确保有机产品认证的质量和数量。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市农业农村局、市市场监督管理管局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发展生态循环农业，2025年畜禽类污综合利用率达到85%以上，全市秸秆综合利用率、农膜回收率分别达到97%、90%以上。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市农业农村局、市生态环境局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坚决防止耕地“非农化”“非粮化”，坚持耕地管理、建设、保护、利用多措并举，实行最严格的耕地保护制。实施土壤改良工程，开展轻中度盐碱耕地治理试验，推进土壤污染治理修复，建设高标准农田62万亩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市自然资源和规划局、市农业农村局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发展林业循环经济，大力发展木本粮油和林下经济，实施森林生态标志产品建设工程。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市林业和草原局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综合采取“节水、蓄水、调水、补水、控水”等措施，系统推进地下水超采综合治理，严格管控地下水开采量，强化节水增效，防止出现超采区。大力推进农业节水，因地制宜合理压减高耗低质低效作物种植。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市水务局、市农业农村局</w:t>
            </w:r>
            <w:bookmarkStart w:id="0" w:name="_GoBack"/>
            <w:bookmarkEnd w:id="0"/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推行水产健康养殖。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市农业农村局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强化农药减量控害，2025年全市农药使用量累计减少22 吨以上，主要农作物病虫害绿色防控覆盖率和统防统治覆盖率分别达到50%、50%以上。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市农业农村局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依据发布的省养殖水域滩涂规划，做好国土空间规划与专项规划的衔接，规划布局水产养殖发展空间。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市农业农村局、市自然资源和规划局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以国家农村产业融合发展示范园为抓手，综合提升农产品加工、生产性服务业、农业休闲、生态旅游、文化康养等功能，2025年省级农业产业化重点龙头企业达到120家。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市发展和改革委员会、市工业和信息化局、市农业农村局、市林业和草原局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宋体" w:hint="eastAsia"/>
                <w:color w:val="000000"/>
                <w:sz w:val="24"/>
                <w:szCs w:val="24"/>
              </w:rPr>
              <w:t>（五）提高服务业绿色发展水平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培育壮大绿色商场、绿色饭店等绿色流通主体。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市商务局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有序发展生活服务行业共享经济，提高闲置资源利用率。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市商务局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加速现有数据中心节能改造，大型、超大型数据中心运行电能利用效率降至1.3以下。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市工业和信息化局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建立健全会展业绿色发展标准规范，鼓励办展设施循环利用。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市商务局、市市场监督管理局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严格执行装修装饰涉VOCs原辅材料含量限值标准，大力推进低（无）VOCs原辅材料替代。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市生态环境局、市住房和城乡建设局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倡导酒店、餐饮等行业不主动提供一次性用品。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市商务局、市旅游和文化广电局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宋体" w:hint="eastAsia"/>
                <w:color w:val="000000"/>
                <w:sz w:val="24"/>
                <w:szCs w:val="24"/>
              </w:rPr>
              <w:t>（六）壮大绿色环保产业</w:t>
            </w:r>
          </w:p>
          <w:p>
            <w:pPr>
              <w:spacing w:after="0"/>
              <w:jc w:val="center"/>
              <w:rPr>
                <w:rFonts w:ascii="楷体" w:eastAsia="楷体" w:hAnsi="楷体" w:cs="宋体"/>
                <w:color w:val="000000"/>
                <w:sz w:val="26"/>
                <w:szCs w:val="26"/>
              </w:rPr>
            </w:pPr>
            <w:r>
              <w:rPr>
                <w:rFonts w:ascii="楷体" w:eastAsia="楷体" w:hAnsi="楷体" w:cs="宋体" w:hint="eastAsia"/>
                <w:color w:val="000000"/>
                <w:sz w:val="26"/>
                <w:szCs w:val="26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加快发展信息智能、生物医药健康、新材料等战略性新兴产业，推动互联网、大数据、人工智能与各产业深度融合。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市发展和改革委员会、市工业和信息化局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spacing w:after="0"/>
              <w:jc w:val="center"/>
              <w:rPr>
                <w:rFonts w:ascii="楷体" w:eastAsia="楷体" w:hAnsi="楷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壮大绿色产业市场主体，培育一批专业化骨干企业，扶持一批“专精特新”中小企业，打造一批特色产业集群。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市发展和改革委员会、市工业和信息化局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spacing w:after="0"/>
              <w:jc w:val="center"/>
              <w:rPr>
                <w:rFonts w:ascii="楷体" w:eastAsia="楷体" w:hAnsi="楷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推广合同能源管理、合同节水管理等商业模式，推动服务由单一设备、单一项目改造向系统优化拓展。开展园区污染防治第三方治理示范，建立健全“污染者付费+第三方治理”机制，探索统一规划、统一监测、统一治理的一体化模式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市发展和改革委员会、市生态环境局、市水务局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eastAsia="楷体" w:hAnsi="楷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实施一批公共机构合同能源管理项目，有序推进大中专院校等领域合同节水管理。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市机关事务管理局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宋体" w:hint="eastAsia"/>
                <w:color w:val="000000"/>
                <w:sz w:val="24"/>
                <w:szCs w:val="24"/>
              </w:rPr>
              <w:t>（七）提升产业园区和产业集群循环化水平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加快推进产业聚集发展，实施“入区进园搬迁一批、治理整顿关停一批、就地改造提升一批、做优做强发展一批”等“四个一批”工程。科学编制新建产业园区开发建设规划，加强规划环境影响评价，依据关联性构建循环产业链条，支持建设能源资源共享输送基础设施，推动产业循环耦合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市发展和改革委员会、市工业和信息化局、市生态环境局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深入实施既有园区和产业集群循环化改造，推动企业循环式生产、产业循环式组合，搭建能源互济、资源共享、废物协同处置的公共平台，促进能源梯级利用、水资源循环使用、废物综合利用。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市发展和改革委员会、市工业和信息化局、市水务局、市农业农村局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宋体" w:hint="eastAsia"/>
                <w:color w:val="000000"/>
                <w:sz w:val="24"/>
                <w:szCs w:val="24"/>
              </w:rPr>
              <w:t>（八）构建绿色供应链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鼓励企业开展绿色设计、选择绿色材料、实施绿色采购、打造绿色制造工艺、推行绿色包装、开展绿色运输、做好废弃产品回收处理，实现产品全周期的绿色环保。推动绿色供应链节点协调协作，发挥龙头企业在稳定供应链中的作用，带动上下游企业建立绿色采购、生产、营销、回收及物流体系，组织符合条件的企业申报省级绿色供应链管理示范企业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市工业和信息化局、市发展和改革委员会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/>
        </w:trPr>
        <w:tc>
          <w:tcPr>
            <w:tcW w:w="1140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三、健全绿色低碳循环发展的流通体系</w:t>
            </w: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三、健全绿色低碳循环发展的流通体系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宋体" w:hint="eastAsia"/>
                <w:color w:val="000000"/>
                <w:sz w:val="24"/>
                <w:szCs w:val="24"/>
              </w:rPr>
              <w:t>（九）打造绿色物流</w:t>
            </w:r>
          </w:p>
          <w:p>
            <w:pPr>
              <w:spacing w:after="0"/>
              <w:jc w:val="center"/>
              <w:rPr>
                <w:rFonts w:ascii="楷体" w:eastAsia="楷体" w:hAnsi="楷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加快推进年运输量150万吨及以上的大型工矿企业及物流园区新建或扩建铁路专用线、运输管道，推动大宗货物及中长距离货物运输向铁路有序转移，加强地方铁路专用线建设，逐步提高铁路运输比例。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市发展和改革委员会、市交通运输局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spacing w:after="0"/>
              <w:jc w:val="center"/>
              <w:rPr>
                <w:rFonts w:ascii="楷体" w:eastAsia="楷体" w:hAnsi="楷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推动企业、行业、公共服务物流信息平台对接，促进跨部门、跨层级、跨区域物流信息协同共享，发展甩挂运输、共同配送、统仓统配。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市交通运输局、市商务局、市发展和改革委员会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eastAsia="楷体" w:hAnsi="楷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继续推进国三及以下排放标准的营运柴油货车淘汰工作，常态化开展重型柴油货车尾气排放达标整治。推进邮快合作、快快合作，有效整合行业运力，减少空载率。加快新能源和清洁能源车船在城市公交、出租汽车、城市配送、邮政快递、铁路货场、水运、机场等领域应用，示范推广氢能货车，2025年城市建成区新增及更新的公交车中清洁能源及新能源车占比达到90%以，新增出租车中清洁能源及新能源占比达到85%以上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市交通运输局、市生态环境局、市工业和信息化局、市邮政管理局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推进智慧商贸物流发展，加快智慧物流园区建设，引导寄递企业采购使用符合标准的专用电动三轮车，规范车辆日常管理，在确保服务通行的前提下有效降低污染排放。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市发展和改革委员会、市商务局、市交通运输局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宋体" w:hint="eastAsia"/>
                <w:color w:val="000000"/>
                <w:sz w:val="24"/>
                <w:szCs w:val="24"/>
              </w:rPr>
              <w:t>（十）加强再生资源回收利用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完善废旧物资回收网络，合理布局建设“交投点、中转站、分拣中心”三级回收体系，推进垃圾分类与再生资源回收“两网融合”。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市城市管理综合行政执法局、市商务局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鼓励再生资源回收龙头企业建立信息平台，推行“互联网+回收”模式，推广智能回收终端，培育新型商业模式。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市发展和改革委员会、市商务局、市城市管理综合行政执法局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健全废旧家电回收网络，增强处理能力，推广典型回收模式和经验做法。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市工业和信息化局、市财政局、市生态环境局、市商务局、市市场监督管理局、市供销社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积极推动再生资源产业聚集发展，加强再生资源回收利用。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市发展和改革委员会、市生态环境局、市工业和信息化局、市供销社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宋体" w:hint="eastAsia"/>
                <w:color w:val="000000"/>
                <w:sz w:val="24"/>
                <w:szCs w:val="24"/>
              </w:rPr>
              <w:t>（十一）建立绿色贸易体系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积极优化贸易结构，引导企业扩大高质量、高附加值的高新技术产品、机电产品和农产品出口，严控高污染、高耗能产品出口。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市商务局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鼓励引导企业积极对接多双边节能环保、清洁能源合作机制，带动先进技术、装备、产能走出去。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市生态环境局、市发展和改革委员会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/>
        </w:trPr>
        <w:tc>
          <w:tcPr>
            <w:tcW w:w="1140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四、健全绿色低碳循环发展的消费体系</w:t>
            </w: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四、健全绿色低碳循环发展的消费体系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宋体" w:hint="eastAsia"/>
                <w:color w:val="000000"/>
                <w:sz w:val="24"/>
                <w:szCs w:val="24"/>
              </w:rPr>
              <w:t>（十二）促进绿色产品消费</w:t>
            </w:r>
          </w:p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宋体" w:hint="eastAsia"/>
                <w:color w:val="000000"/>
                <w:sz w:val="24"/>
                <w:szCs w:val="24"/>
              </w:rPr>
              <w:t>（十二）促进绿色产品消费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严格执行《关于调整优化节能产品 环境标志产品政府采购执行机制的通知》和《政府采购需求管理办法》，通过确定供应商资格条件、设定评审规则等措施，落实绿色发展政府采购政策。鼓励各部门综合考虑节能、节水、环保、循环、低碳、再生、有机等因素，参考相关国家标准、行业标准或团体标准，在政府采购需求中提出相关绿色采购要求，促进绿色产品推广应用，提高绿色采购规模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市财政局、市国</w:t>
            </w: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  <w:lang w:eastAsia="zh-CN"/>
              </w:rPr>
              <w:t>有</w:t>
            </w: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资</w:t>
            </w: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  <w:lang w:eastAsia="zh-CN"/>
              </w:rPr>
              <w:t>产</w:t>
            </w: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委</w:t>
            </w: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  <w:lang w:eastAsia="zh-CN"/>
              </w:rPr>
              <w:t>员会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加大绿色消费宣传力度，引导企业和居民选购绿色产品。鼓励有条件的县（市、区）采取补贴、积分奖励等方式促进绿色消费。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市发展和改革委员会、市市场监督管理局、市工业和信息化局、市生态环境局、市水务局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鼓励电商企业设立绿色产品销售专区，通过积分奖励等形式引导消费者选购。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市商务局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引导企业开展绿色产品、有机产品高端认证，在省指导下探索开展质量认证示范区，强化认证机构信用监管。推动寄递企业建立实施绿色采购制度，优先采购使用经过快递包装绿色产品认证的包装产品。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市市场监督管理局、市农业农村局、市商务局、市邮政管理局、市工业和信息化局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严厉打击虚标绿色产品等违法行为，有关行政处罚等信息纳入企业信用信息公示系统，对家电产品能效、水效标识计量开展专项抽查。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市市场监督管理局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6"/>
                <w:szCs w:val="26"/>
              </w:rPr>
            </w:pPr>
            <w:r>
              <w:rPr>
                <w:rFonts w:ascii="楷体" w:eastAsia="楷体" w:hAnsi="楷体" w:cs="宋体" w:hint="eastAsia"/>
                <w:color w:val="000000"/>
                <w:sz w:val="26"/>
                <w:szCs w:val="26"/>
              </w:rPr>
              <w:t>（</w:t>
            </w:r>
            <w:r>
              <w:rPr>
                <w:rFonts w:ascii="楷体_GB2312" w:eastAsia="楷体_GB2312" w:hAnsi="楷体" w:cs="宋体" w:hint="eastAsia"/>
                <w:color w:val="000000"/>
                <w:sz w:val="24"/>
                <w:szCs w:val="24"/>
              </w:rPr>
              <w:t>十三）倡导绿色低碳生活方式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严格执行机关食堂制止餐饮浪费管理规范，引导餐饮企业和消费者参与“光盘行动”，加大收储运等各环节节粮力度。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市商务局、市机关事务管理局、市发展和改革委员会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持续推动生活垃圾分类，坚持党委领导、政府推动、市级统筹、属地负责，积极推动示范区建设，加快推动生活垃圾分类配套政策体系建设，引导全民参与生活垃圾分类。2025年各区基本建成生活垃圾全程分类和处理系统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市城市管理综合行政执法局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强化塑料污染治理，持续加大监督执法、替代产品推广和宣传引导力度，有序禁止限制一批塑料制品。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市发展和改革委员会、市生态环境局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49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严格执行限制商品过度包装强制性标准，开展监督检查。推进快递包装绿色转型，2025年电商快件基本不再二次包装。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市市场监督管理局、市邮政管理局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提高城市公交网和站点密度，力争在我市中心区的建成区通过公共交通工具实现5分钟换乘、500米乘车。加快轨道交通、步行和自行车等绿色出行设施建设，2025年城市公共交通出行比例达到</w:t>
            </w:r>
            <w:r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  <w:t>36</w:t>
            </w: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%。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市交通运输局、市住房和城乡建设局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深化国家卫生城市创建。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市卫生健康委员会、市</w:t>
            </w: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住房和城乡建设局</w:t>
            </w: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、市农业农村局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开展绿色生活创建活动。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市发展和改革委员会、市教育局、市</w:t>
            </w: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住房和城乡建设局</w:t>
            </w: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、市城市管理综合行政执法局、市交通运输局、市商务局、市机关事务管理局、市妇联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/>
        </w:trPr>
        <w:tc>
          <w:tcPr>
            <w:tcW w:w="1140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五、加快基础设施绿色升级</w:t>
            </w:r>
          </w:p>
          <w:p>
            <w:pPr>
              <w:adjustRightInd/>
              <w:snapToGrid/>
              <w:spacing w:after="0"/>
              <w:jc w:val="both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五、加快基础设施绿色升级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宋体" w:hint="eastAsia"/>
                <w:color w:val="000000"/>
                <w:sz w:val="24"/>
                <w:szCs w:val="24"/>
              </w:rPr>
              <w:t>（十四）推动能源体系绿色低碳转型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坚持节能优先，完善能耗双控制度，加强固定资产投资项目节能审查，强化重点用能单位节能管理。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市发展和改革委员会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加快承德百万千瓦风电基地和光伏发电项目建设，因地制宜推进生物质热电联产、抽水蓄能项目建设。全力推进氢能产业项目建设，提高制储运氢能力，逐步扩宽氢能应用场景。2025年，清洁能源产业实现跨越式发展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市发展和改革委员会、市自然资源和规划局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推动钢铁、焦化等行业提高煤炭利用效率，加快工业、采暖等领域电能和天然气替代，置换锅炉和工业窑炉燃煤，继续淘汰煤电落后产能，严控新增煤电装机容量，抓好全市煤炭消费总量控制工作。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市发展和改革委员会、市工业和信息化局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高标准推进城乡配电网建设，巩固提升农村电网。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市发展和改革委员会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加快天然气管网建设，提高燃气应急储备能力。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市发展和改革委员会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在钢铁、火电等行业开展二氧化碳捕集、利用和封存试点。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市生态环境局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6"/>
                <w:szCs w:val="26"/>
              </w:rPr>
            </w:pPr>
            <w:r>
              <w:rPr>
                <w:rFonts w:ascii="楷体" w:eastAsia="楷体" w:hAnsi="楷体" w:cs="宋体" w:hint="eastAsia"/>
                <w:color w:val="000000"/>
                <w:sz w:val="26"/>
                <w:szCs w:val="26"/>
              </w:rPr>
              <w:t>（十五）推进城镇环境基础设施建设升级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59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推进城镇污水处理设及配套管网建设，提高污泥无害化资源化处置能力，因地制宜布局污水资源化利用设施，2025年城市、县城生活污水基本全收集、全处理，污泥无害化处理率分别达到97%、95%。持续保持城市黑臭水体工作成效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市城市管理综合行政执法局、市发展和改革委员会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60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加快4座垃圾焚烧发电设施建设，2025年实现生活垃圾焚烧处理全覆盖。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市城市管理综合行政执法局、市发展和改革委员会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61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推动危险废物集中利用处置设施建设，鼓励化工等园区配套建设集中贮存、预处理和再利用处置设施。推动危险废物智能化环境监管平台建设，逐步实现全过程监控和信息化监管。严格执行经营许可管理制度，严厉打击涉危险废物违法犯罪行为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市生态环境局、市发展和改革委员会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62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加快补齐医疗废物处理短板，2021年底医疗废物焚烧处置率达到100%。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市生态环境局、市发展和改革委员会、市卫生健康委员会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加快餐厨垃圾收运处体系建设，统筹规划布局，落实主体责任，强化资金保证，2025年餐厨垃圾实现非填埋无害化处理。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市城市管理综合行政执法局、市发展和改革委员会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eastAsia="楷体" w:hAnsi="楷体" w:cs="宋体"/>
                <w:color w:val="000000"/>
                <w:sz w:val="26"/>
                <w:szCs w:val="26"/>
              </w:rPr>
            </w:pPr>
            <w:r>
              <w:rPr>
                <w:rFonts w:ascii="楷体_GB2312" w:eastAsia="楷体_GB2312" w:hAnsi="楷体" w:cs="宋体" w:hint="eastAsia"/>
                <w:color w:val="000000"/>
                <w:sz w:val="24"/>
                <w:szCs w:val="24"/>
              </w:rPr>
              <w:t>（十六）提升交通基础设施绿色发展水平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64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将生态环保理念贯穿交通基础设施规划、建设、运营和养护全过程，集约利用土地、空域等资源，强化生态红线区域与交通线网规划协调，积极推进绿色铁路、绿色机场、绿色公路建设。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市交通运输局、市发展和改革委员会、市生态环境局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65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8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积极配合有关部门做好高速公路服务区、交通枢纽、物流中心、公交场站等区域充电桩、充电站建设，提高车桩比。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市交通运输局、市发展和改革委员会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66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8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积极推广应用温拌沥青、智能通风、辅助动力替代和节能灯具、隔声屏障等节能环保先进技术和产品。推动道路施工材料、废旧材料再生和综合利用。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市交通运输局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宋体" w:hint="eastAsia"/>
                <w:color w:val="000000"/>
                <w:sz w:val="24"/>
                <w:szCs w:val="24"/>
              </w:rPr>
              <w:t>（十七）改善城乡人居环境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67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8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2021年底前编制完成市县国土空间规划，统筹城市发展和安全，优化空间布局，合理确定开发强度，鼓励城市留白增绿。加强城市排水设施运行管理，定期进行检查和维护，进一步增强城市排涝能力。积极创建“美丽城市”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市自然资源和规划局、市城市管理综合行政执法局、市水务局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68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8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大力发展被动式超低能耗建筑，改造提升老旧小区基础设施，提升既有建筑能效水平，2025年全市城镇绿色建筑占新建建筑比例达到100%。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市住房和城乡建设局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69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80" w:lineRule="exact"/>
              <w:jc w:val="both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有序推进“多规合一”实用性村庄规划编制，有条件、有需求的村庄规划应编尽编。加快推进农村人居环境整治，2025年底，全市二类县卫生厕所改造基本完成，三类县卫生厕所普及率明显提高，基本建立健全长效管护和厕所粪污处理利用机制。积极推进农村厕所粪污资源化利用。到2025年底，完成231个村庄农村污水治理任务。农村黑臭水体排查整治动态清零，农村厕所粪污处理率达到100%，农村生活污水治理长效运维管理机制不断完善。2021年年底前，建设完成10座农村生活垃圾转运站。强气源和电力供应保障，全面完成气代煤、电代煤工程扫尾，落实洁净煤兜底政策。继续实施农村危房改造和农房抗震改造。有序推进美丽乡村建设，2025年建成400个宜居宜业宜游的美丽乡村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市自然资源和规划局、市农业农村局、市卫生健康委员会、市生态环境局、市住房和城乡建设局、市城市管理综合行政执法局、市发展和改革委员会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/>
        </w:trPr>
        <w:tc>
          <w:tcPr>
            <w:tcW w:w="1140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六、构建市场导向的绿色技术创新体系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宋体" w:hint="eastAsia"/>
                <w:color w:val="000000"/>
                <w:sz w:val="24"/>
                <w:szCs w:val="24"/>
              </w:rPr>
              <w:t>（十八）鼓励绿色低碳技术研发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70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围绕大气污染治理、水源地涵养、清洁能源替代等关键领域，研发应用一批先进实用技术。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市科学技术局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71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强化企业创新主体地位，鼓励龙头企业采取自主建设、联合共建等方式，在绿色技术领域建设一批市级技术产业创新联盟、中心和资源共享服务平台。支持企业牵头或参与财政资金支持的绿色技术研发项目、市场导向明确的绿色技术创新项目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市科学技术局、市发展和改革委员会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宋体" w:hint="eastAsia"/>
                <w:color w:val="000000"/>
                <w:sz w:val="24"/>
                <w:szCs w:val="24"/>
              </w:rPr>
              <w:t>（十九）加速科技成果转化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72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组织推荐国家重大环保装备技术名录和环保装备技术规范管理企业，优先将先进绿色环保产品列入首台（套）政策支持范围。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市工业和信息化局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73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做强科技成果对接品牌活动，加大科技创新券投放力度，推动国内外重大研发成果及科研能力落地转化。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市科学技术局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74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加强与国家绿色技术交易中心对接，鼓励引导我市企业、高校、科研机构积极参与国家绿色技术交易。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市发展和改革委员会、市生态环境局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/>
        </w:trPr>
        <w:tc>
          <w:tcPr>
            <w:tcW w:w="1140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pStyle w:val="BodyText1I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pStyle w:val="BodyText1I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七、完善法规政策体系</w:t>
            </w: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七、完善法规政策体系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宋体" w:hint="eastAsia"/>
                <w:color w:val="000000"/>
                <w:sz w:val="24"/>
                <w:szCs w:val="24"/>
              </w:rPr>
              <w:t>（二十）强化法规支撑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75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推进滦河潮河水环境保护、乡村环境保护和治理、节约用水、土地管理、爱国卫生等一批地方性法规制修订工作。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/>
                <w:color w:val="000000"/>
                <w:spacing w:val="-2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pacing w:val="-20"/>
                <w:sz w:val="21"/>
                <w:szCs w:val="21"/>
              </w:rPr>
              <w:t>市人大常委会、市生态环境局、市水务局、市自然资源和规划局、市卫生健康委员会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76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全面落实行政执法三项制度，加强生态环境、能源资源等领域执法监督，依法打击违法犯罪行为。加强审判机关、检察机关和行政部门协调联动，形成行政司法合力。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市生态环境局、市市场监督管理局、市司法局、市法院、市检察院、市公安局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宋体" w:hint="eastAsia"/>
                <w:color w:val="000000"/>
                <w:sz w:val="24"/>
                <w:szCs w:val="24"/>
              </w:rPr>
              <w:t>（二十一）健全绿色收费价格机制</w:t>
            </w:r>
          </w:p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宋体" w:hint="eastAsia"/>
                <w:color w:val="000000"/>
                <w:sz w:val="24"/>
                <w:szCs w:val="24"/>
              </w:rPr>
              <w:t>（二十一）健全绿色收费价格机制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77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合理制定污水处理收费标准，建立健全城镇污水处理费动态调整机制，具备污水集中处理条件的建制镇全面建立污水处理收费制度。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市发展和改革委员会、市财政局、市城市管理综合行政执法局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78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推进城镇生活垃圾处理收费方式改革，按照产生者付费原则，逐步建立分类计价、计量收费、便于收缴的收费制度。健全分类垃圾与混合垃圾差别化收费机制，提高混合垃圾收费标准。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市发展和改革委员会、市财政局、市城市管理综合行政执法局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79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健全分类垃圾与混合垃圾差别化收费机制，提高混合垃圾收费标准。对能源消耗超限额标准的用能单位严格执行阶梯电价，对主要耗能行业的用能单位实行差别电价。推进农业水价综合改革，推广“超用加价”“终端水价”等模式。继续落实好居民阶梯电价、气价、水价制度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市发展和改革委员会、市生态环境局、市城市管理综合行政执法局、市农业农村局、市水务局、市财政局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宋体" w:hint="eastAsia"/>
                <w:color w:val="000000"/>
                <w:sz w:val="24"/>
                <w:szCs w:val="24"/>
              </w:rPr>
              <w:t>（二十二）加大财税扶持力度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80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加大财政资金和预算内投资支持环境基础设施补短板、绿色环保产业发展、能源高效利用、资源循环利用等力度。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市财政局、市发展和改革委员会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81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落实节能、节水、环保、资源综合利用以及合同能源管理、环境污染第三方治理等方面等税收优惠政策。建立资源税征管协作、信息共享等机制。加强水资源税联合征管，确保取用水户申报管理全覆盖。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市财政局、市税务局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宋体" w:hint="eastAsia"/>
                <w:color w:val="000000"/>
                <w:sz w:val="24"/>
                <w:szCs w:val="24"/>
              </w:rPr>
              <w:t>（二十三）大力发展绿色金融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82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开展辖内法人金融机构绿色信贷业绩评价，完善绿色金融激励约束机制。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人行承德中心支行、承德银保监分局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83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支持保险机构开展绿色保险业务，建立健全保险理赔服务体系。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承德市银保监分局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84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鼓励符合条件的企业或机构发行绿色债券。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人行承德中心支行、市发展和改革委员会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宋体" w:hint="eastAsia"/>
                <w:color w:val="000000"/>
                <w:sz w:val="24"/>
                <w:szCs w:val="24"/>
              </w:rPr>
              <w:t>（二十四）完善绿色标准、绿色认证体系和统计监测制度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85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鼓励重点企业、社会团体、科研机构主导或参与相关国际、国家和行业标准制修订，完善绿色低碳循环发展地方标准。贯彻落实国家认证制度，引导企业开展节能、节水、绿色建材产品认证，并采用“双随机”方式加强认证监督。加快标准化支撑机构建设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市市场监督管理局、市发展和改革委员会、市农业农村局、市工业和信息化局、市生态环境局、市水务局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vMerge/>
            <w:vAlign w:val="center"/>
          </w:tcPr>
          <w:p>
            <w:pPr>
              <w:adjustRightInd/>
              <w:snapToGrid/>
              <w:spacing w:after="0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86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严格执行国家统计局、省统计局关于能源、资源、环境保护等领域统计调查制度，开展统计监测分析，实现统计信息共享。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市统计局</w:t>
            </w:r>
          </w:p>
        </w:tc>
      </w:tr>
      <w:tr>
        <w:tblPrEx>
          <w:tblW w:w="878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/>
        </w:trPr>
        <w:tc>
          <w:tcPr>
            <w:tcW w:w="1140" w:type="dxa"/>
            <w:vMerge/>
            <w:vAlign w:val="center"/>
          </w:tcPr>
          <w:p>
            <w:pPr>
              <w:adjustRightInd/>
              <w:snapToGrid/>
              <w:spacing w:after="0" w:line="580" w:lineRule="exact"/>
              <w:rPr>
                <w:rFonts w:ascii="黑体" w:eastAsia="黑体" w:hAnsi="黑体" w:cs="宋体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楷体_GB2312" w:eastAsia="楷体_GB2312" w:hAnsi="楷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宋体" w:hint="eastAsia"/>
                <w:color w:val="000000"/>
                <w:sz w:val="24"/>
                <w:szCs w:val="24"/>
              </w:rPr>
              <w:t>（二十五）培育绿色交易市场机制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87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深化排污权交易改革，推进排污权交易二级市场制度体系建设，开展确权后排污权指标规范使用和管理试点。推动企业参与用能权有偿使用和交易。推动水资源使用权有序流动，鼓励工业、农业取用水户规范有序开展水权交易。开展碳排放权交易，做好碳排放配额分配和清缴、温室气体排放报告核查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hAnsi="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1"/>
                <w:szCs w:val="21"/>
              </w:rPr>
              <w:t>市生态环境局、市发展和改革委员会、市水务局、市财政局</w:t>
            </w:r>
          </w:p>
        </w:tc>
      </w:tr>
    </w:tbl>
    <w:p>
      <w:pPr>
        <w:spacing w:after="0" w:line="580" w:lineRule="exact"/>
        <w:rPr>
          <w:rFonts w:ascii="黑体" w:eastAsia="黑体" w:hAnsi="黑体"/>
          <w:sz w:val="32"/>
          <w:szCs w:val="32"/>
        </w:rPr>
      </w:pPr>
    </w:p>
    <w:sectPr>
      <w:footerReference w:type="even" r:id="rId6"/>
      <w:footerReference w:type="default" r:id="rId7"/>
      <w:pgSz w:w="11906" w:h="16838"/>
      <w:pgMar w:top="1984" w:right="1418" w:bottom="1701" w:left="1418" w:header="850" w:footer="992" w:gutter="0"/>
      <w:pgNumType w:fmt="decimal" w:start="14"/>
      <w:cols w:num="1" w:space="0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tabs>
        <w:tab w:val="clear" w:pos="4153"/>
        <w:tab w:val="left" w:pos="5342"/>
      </w:tabs>
      <w:ind w:right="72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2in;height:2in;margin-top:0;margin-left:0;mso-height-relative:page;mso-position-horizontal:outside;mso-position-horizontal-relative:margin;mso-width-relative:page;mso-wrap-style:none;position:absolute;z-index:251663360" coordsize="21600,21600" filled="f" stroked="f">
              <o:lock v:ext="edit" aspectratio="f"/>
              <v:textbox style="mso-fit-shape-to-text:t" inset="0,0,0,0">
                <w:txbxContent>
                  <w:p>
                    <w:pPr>
                      <w:pStyle w:val="Footer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lang w:eastAsia="zh-CN"/>
      </w:rPr>
      <w:tab/>
    </w:r>
  </w:p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0" type="#_x0000_t202" style="width:2in;height:2in;margin-top:0;margin-left:0;mso-height-relative:page;mso-position-horizontal:outside;mso-position-horizontal-relative:margin;mso-width-relative:page;mso-wrap-style:none;position:absolute;z-index:251661312" coordsize="21600,21600" filled="f" stroked="f">
              <o:lock v:ext="edit" aspectratio="f"/>
              <v:textbox style="mso-fit-shape-to-text:t" inset="0,0,0,0">
                <w:txbxContent>
                  <w:p>
                    <w:pPr>
                      <w:pStyle w:val="Footer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4890135</wp:posOffset>
              </wp:positionH>
              <wp:positionV relativeFrom="page">
                <wp:posOffset>9722485</wp:posOffset>
              </wp:positionV>
              <wp:extent cx="520700" cy="271145"/>
              <wp:effectExtent l="0" t="0" r="12700" b="1460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520700" cy="2711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2051" type="#_x0000_t202" style="width:41pt;height:21.35pt;margin-top:765.55pt;margin-left:385.05pt;mso-height-relative:page;mso-position-horizontal-relative:margin;mso-position-vertical-relative:page;mso-width-relative:page;position:absolute;z-index:251659264" coordsize="21600,21600" filled="f" stroked="f">
              <o:lock v:ext="edit" aspectratio="f"/>
              <v:textbox style="mso-fit-shape-to-text:t" inset="0,0,0,0">
                <w:txbxContent>
                  <w:p/>
                </w:txbxContent>
              </v:textbox>
              <w10:wrap anchorx="margin"/>
            </v:shape>
          </w:pict>
        </mc:Fallback>
      </mc:AlternateContent>
    </w:r>
  </w:p>
  <w:p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evenAndOddHeaders/>
  <w:drawingGridHorizontalSpacing w:val="111"/>
  <w:drawingGridVerticalSpacing w:val="29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6133"/>
    <w:rsid w:val="000243D5"/>
    <w:rsid w:val="00034895"/>
    <w:rsid w:val="00040CEA"/>
    <w:rsid w:val="000410EF"/>
    <w:rsid w:val="00055E4B"/>
    <w:rsid w:val="00075B6A"/>
    <w:rsid w:val="000811E8"/>
    <w:rsid w:val="00085861"/>
    <w:rsid w:val="00092F41"/>
    <w:rsid w:val="000A2668"/>
    <w:rsid w:val="000A3D60"/>
    <w:rsid w:val="000A4096"/>
    <w:rsid w:val="000A4491"/>
    <w:rsid w:val="000C08F2"/>
    <w:rsid w:val="000C2078"/>
    <w:rsid w:val="000D3DF8"/>
    <w:rsid w:val="00117363"/>
    <w:rsid w:val="00122EDE"/>
    <w:rsid w:val="00126EB9"/>
    <w:rsid w:val="00131935"/>
    <w:rsid w:val="00135B17"/>
    <w:rsid w:val="00140F38"/>
    <w:rsid w:val="00143896"/>
    <w:rsid w:val="00144D36"/>
    <w:rsid w:val="00150850"/>
    <w:rsid w:val="00152AD8"/>
    <w:rsid w:val="00156AFB"/>
    <w:rsid w:val="0016046B"/>
    <w:rsid w:val="001A2089"/>
    <w:rsid w:val="001A69BB"/>
    <w:rsid w:val="001B0672"/>
    <w:rsid w:val="001B1509"/>
    <w:rsid w:val="001D1816"/>
    <w:rsid w:val="001E7A0B"/>
    <w:rsid w:val="001E7EDD"/>
    <w:rsid w:val="00201835"/>
    <w:rsid w:val="00201CFC"/>
    <w:rsid w:val="0020769D"/>
    <w:rsid w:val="00210779"/>
    <w:rsid w:val="0021529B"/>
    <w:rsid w:val="00241F6A"/>
    <w:rsid w:val="00250978"/>
    <w:rsid w:val="002551ED"/>
    <w:rsid w:val="00260B10"/>
    <w:rsid w:val="00263D5F"/>
    <w:rsid w:val="00264355"/>
    <w:rsid w:val="00267459"/>
    <w:rsid w:val="002751FD"/>
    <w:rsid w:val="002776A3"/>
    <w:rsid w:val="00286122"/>
    <w:rsid w:val="00292B93"/>
    <w:rsid w:val="002A1773"/>
    <w:rsid w:val="002A59D9"/>
    <w:rsid w:val="002B19E7"/>
    <w:rsid w:val="002D5496"/>
    <w:rsid w:val="002E534D"/>
    <w:rsid w:val="002E6008"/>
    <w:rsid w:val="002F24BF"/>
    <w:rsid w:val="00300A74"/>
    <w:rsid w:val="0030571D"/>
    <w:rsid w:val="0030772D"/>
    <w:rsid w:val="003123DC"/>
    <w:rsid w:val="003201C4"/>
    <w:rsid w:val="00323B43"/>
    <w:rsid w:val="003366F7"/>
    <w:rsid w:val="00343472"/>
    <w:rsid w:val="00343753"/>
    <w:rsid w:val="00352072"/>
    <w:rsid w:val="00372A32"/>
    <w:rsid w:val="00374678"/>
    <w:rsid w:val="00382590"/>
    <w:rsid w:val="003834A4"/>
    <w:rsid w:val="0038736D"/>
    <w:rsid w:val="003A3D8E"/>
    <w:rsid w:val="003A5B26"/>
    <w:rsid w:val="003B54EA"/>
    <w:rsid w:val="003B62CE"/>
    <w:rsid w:val="003C280A"/>
    <w:rsid w:val="003D37D8"/>
    <w:rsid w:val="003D4FC0"/>
    <w:rsid w:val="003E1FFF"/>
    <w:rsid w:val="003E6A27"/>
    <w:rsid w:val="003E73B0"/>
    <w:rsid w:val="003F253C"/>
    <w:rsid w:val="003F53CF"/>
    <w:rsid w:val="00404F15"/>
    <w:rsid w:val="004219C2"/>
    <w:rsid w:val="00426133"/>
    <w:rsid w:val="004344F5"/>
    <w:rsid w:val="004358AB"/>
    <w:rsid w:val="0048022C"/>
    <w:rsid w:val="004A4159"/>
    <w:rsid w:val="004A5846"/>
    <w:rsid w:val="004B5518"/>
    <w:rsid w:val="004C3833"/>
    <w:rsid w:val="004E41BC"/>
    <w:rsid w:val="004E5E81"/>
    <w:rsid w:val="005125DB"/>
    <w:rsid w:val="00526AB8"/>
    <w:rsid w:val="00564F5A"/>
    <w:rsid w:val="00573965"/>
    <w:rsid w:val="00577513"/>
    <w:rsid w:val="0058139F"/>
    <w:rsid w:val="005947BA"/>
    <w:rsid w:val="005A3AA9"/>
    <w:rsid w:val="005A625B"/>
    <w:rsid w:val="005B3D2D"/>
    <w:rsid w:val="005F0806"/>
    <w:rsid w:val="005F17EF"/>
    <w:rsid w:val="00602B5F"/>
    <w:rsid w:val="00604306"/>
    <w:rsid w:val="0060572A"/>
    <w:rsid w:val="00606806"/>
    <w:rsid w:val="0060749F"/>
    <w:rsid w:val="00635737"/>
    <w:rsid w:val="0063704C"/>
    <w:rsid w:val="006376B5"/>
    <w:rsid w:val="00640BA9"/>
    <w:rsid w:val="00653E67"/>
    <w:rsid w:val="00675911"/>
    <w:rsid w:val="00690739"/>
    <w:rsid w:val="00694BEB"/>
    <w:rsid w:val="006A3F06"/>
    <w:rsid w:val="006A56B1"/>
    <w:rsid w:val="006A5F5B"/>
    <w:rsid w:val="006A5FD0"/>
    <w:rsid w:val="006B51B2"/>
    <w:rsid w:val="006B580A"/>
    <w:rsid w:val="006B596C"/>
    <w:rsid w:val="006C745A"/>
    <w:rsid w:val="006D3121"/>
    <w:rsid w:val="00703A25"/>
    <w:rsid w:val="00711848"/>
    <w:rsid w:val="00730271"/>
    <w:rsid w:val="0073515E"/>
    <w:rsid w:val="007425B7"/>
    <w:rsid w:val="00744586"/>
    <w:rsid w:val="0074738B"/>
    <w:rsid w:val="00747F24"/>
    <w:rsid w:val="00767480"/>
    <w:rsid w:val="00784651"/>
    <w:rsid w:val="00785F6F"/>
    <w:rsid w:val="007A6EF9"/>
    <w:rsid w:val="007C2A14"/>
    <w:rsid w:val="007D5934"/>
    <w:rsid w:val="007E1188"/>
    <w:rsid w:val="007E2F36"/>
    <w:rsid w:val="007E4D17"/>
    <w:rsid w:val="007E6DD4"/>
    <w:rsid w:val="007F51CC"/>
    <w:rsid w:val="00802B86"/>
    <w:rsid w:val="00805AB1"/>
    <w:rsid w:val="008116B8"/>
    <w:rsid w:val="00825140"/>
    <w:rsid w:val="00825FE1"/>
    <w:rsid w:val="00830C9F"/>
    <w:rsid w:val="00845262"/>
    <w:rsid w:val="00860E87"/>
    <w:rsid w:val="0086207E"/>
    <w:rsid w:val="00872F3E"/>
    <w:rsid w:val="0087301A"/>
    <w:rsid w:val="00876B61"/>
    <w:rsid w:val="0089194F"/>
    <w:rsid w:val="008B7726"/>
    <w:rsid w:val="008C5C8A"/>
    <w:rsid w:val="008D64CC"/>
    <w:rsid w:val="00902FDA"/>
    <w:rsid w:val="00906D8D"/>
    <w:rsid w:val="009119BA"/>
    <w:rsid w:val="00912327"/>
    <w:rsid w:val="00921638"/>
    <w:rsid w:val="00941EDC"/>
    <w:rsid w:val="00944521"/>
    <w:rsid w:val="0096240B"/>
    <w:rsid w:val="00966CEF"/>
    <w:rsid w:val="009805D3"/>
    <w:rsid w:val="0098762C"/>
    <w:rsid w:val="009948FB"/>
    <w:rsid w:val="00996C52"/>
    <w:rsid w:val="009A4AC2"/>
    <w:rsid w:val="009C1687"/>
    <w:rsid w:val="009C36BC"/>
    <w:rsid w:val="009D3861"/>
    <w:rsid w:val="009D72C6"/>
    <w:rsid w:val="009F5168"/>
    <w:rsid w:val="00A00C0C"/>
    <w:rsid w:val="00A10F43"/>
    <w:rsid w:val="00A43F3F"/>
    <w:rsid w:val="00A602AF"/>
    <w:rsid w:val="00A67362"/>
    <w:rsid w:val="00A74295"/>
    <w:rsid w:val="00A86C9E"/>
    <w:rsid w:val="00A8784C"/>
    <w:rsid w:val="00A91159"/>
    <w:rsid w:val="00A923FD"/>
    <w:rsid w:val="00AA39AB"/>
    <w:rsid w:val="00AA4336"/>
    <w:rsid w:val="00AC0515"/>
    <w:rsid w:val="00AC266E"/>
    <w:rsid w:val="00AC5259"/>
    <w:rsid w:val="00AC5639"/>
    <w:rsid w:val="00AC696A"/>
    <w:rsid w:val="00AD160E"/>
    <w:rsid w:val="00AD3F18"/>
    <w:rsid w:val="00AE499E"/>
    <w:rsid w:val="00AF298F"/>
    <w:rsid w:val="00AF770B"/>
    <w:rsid w:val="00B03A0C"/>
    <w:rsid w:val="00B4561A"/>
    <w:rsid w:val="00B553A8"/>
    <w:rsid w:val="00B56FA4"/>
    <w:rsid w:val="00B64C87"/>
    <w:rsid w:val="00B8764E"/>
    <w:rsid w:val="00B87A4E"/>
    <w:rsid w:val="00B922EA"/>
    <w:rsid w:val="00BB4D2B"/>
    <w:rsid w:val="00BC265B"/>
    <w:rsid w:val="00BD1652"/>
    <w:rsid w:val="00BE09C6"/>
    <w:rsid w:val="00BE4B90"/>
    <w:rsid w:val="00BE519C"/>
    <w:rsid w:val="00BE6E7A"/>
    <w:rsid w:val="00C020F7"/>
    <w:rsid w:val="00C06649"/>
    <w:rsid w:val="00C235FC"/>
    <w:rsid w:val="00C71AEF"/>
    <w:rsid w:val="00C723F8"/>
    <w:rsid w:val="00C81A13"/>
    <w:rsid w:val="00CA207F"/>
    <w:rsid w:val="00CA64E7"/>
    <w:rsid w:val="00CB01A9"/>
    <w:rsid w:val="00CB49D1"/>
    <w:rsid w:val="00CC4193"/>
    <w:rsid w:val="00CC7437"/>
    <w:rsid w:val="00CD1A07"/>
    <w:rsid w:val="00CF19CB"/>
    <w:rsid w:val="00CF5489"/>
    <w:rsid w:val="00D032F2"/>
    <w:rsid w:val="00D1074D"/>
    <w:rsid w:val="00D31D50"/>
    <w:rsid w:val="00D32CEA"/>
    <w:rsid w:val="00D548A9"/>
    <w:rsid w:val="00D55BCD"/>
    <w:rsid w:val="00D71867"/>
    <w:rsid w:val="00D80DE4"/>
    <w:rsid w:val="00D87EF5"/>
    <w:rsid w:val="00DA1D9D"/>
    <w:rsid w:val="00DC0A1E"/>
    <w:rsid w:val="00DC514A"/>
    <w:rsid w:val="00DC64E2"/>
    <w:rsid w:val="00DE61BB"/>
    <w:rsid w:val="00DF7D19"/>
    <w:rsid w:val="00E13D93"/>
    <w:rsid w:val="00E20638"/>
    <w:rsid w:val="00E24341"/>
    <w:rsid w:val="00E50B8A"/>
    <w:rsid w:val="00E56D01"/>
    <w:rsid w:val="00E6245A"/>
    <w:rsid w:val="00E6448E"/>
    <w:rsid w:val="00E72F47"/>
    <w:rsid w:val="00EB5931"/>
    <w:rsid w:val="00EC719D"/>
    <w:rsid w:val="00EE3F10"/>
    <w:rsid w:val="00F00F76"/>
    <w:rsid w:val="00F10193"/>
    <w:rsid w:val="00F10673"/>
    <w:rsid w:val="00F10703"/>
    <w:rsid w:val="00F15730"/>
    <w:rsid w:val="00F21080"/>
    <w:rsid w:val="00F26A69"/>
    <w:rsid w:val="00F40359"/>
    <w:rsid w:val="00F5084E"/>
    <w:rsid w:val="00F625E0"/>
    <w:rsid w:val="00F6578D"/>
    <w:rsid w:val="00F82F5E"/>
    <w:rsid w:val="00F97B5C"/>
    <w:rsid w:val="00FA45CF"/>
    <w:rsid w:val="00FC0B7D"/>
    <w:rsid w:val="00FC76A0"/>
    <w:rsid w:val="00FD44E9"/>
    <w:rsid w:val="00FD7B6E"/>
    <w:rsid w:val="00FE04BD"/>
    <w:rsid w:val="00FE7554"/>
    <w:rsid w:val="00FE77DF"/>
    <w:rsid w:val="00FF4426"/>
    <w:rsid w:val="027F7BCD"/>
    <w:rsid w:val="038A24AC"/>
    <w:rsid w:val="0F1677F0"/>
    <w:rsid w:val="0FA83861"/>
    <w:rsid w:val="18A5405E"/>
    <w:rsid w:val="206F6083"/>
    <w:rsid w:val="23C315FC"/>
    <w:rsid w:val="34671073"/>
    <w:rsid w:val="36B81DEF"/>
    <w:rsid w:val="3ABA46CC"/>
    <w:rsid w:val="3B483350"/>
    <w:rsid w:val="3DD2524F"/>
    <w:rsid w:val="4E1265ED"/>
    <w:rsid w:val="53EA155B"/>
    <w:rsid w:val="568F6AD2"/>
    <w:rsid w:val="5A192679"/>
    <w:rsid w:val="5D8A6895"/>
    <w:rsid w:val="720D4E76"/>
    <w:rsid w:val="7648484E"/>
    <w:rsid w:val="782A373C"/>
    <w:rsid w:val="7E3722B8"/>
    <w:rsid w:val="7F671FE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微软雅黑" w:ascii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 w:qFormat="1"/>
    <w:lsdException w:name="toc 7" w:uiPriority="39"/>
    <w:lsdException w:name="toc 8" w:uiPriority="39"/>
    <w:lsdException w:name="toc 9" w:uiPriority="39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semiHidden="0" w:uiPriority="0" w:unhideWhenUsed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1I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I">
    <w:name w:val="BodyText1I"/>
    <w:basedOn w:val="BodyText"/>
    <w:uiPriority w:val="99"/>
    <w:qFormat/>
    <w:pPr>
      <w:widowControl/>
      <w:ind w:firstLine="420" w:firstLineChars="100"/>
      <w:jc w:val="left"/>
    </w:pPr>
    <w:rPr>
      <w:rFonts w:ascii="Arial" w:hAnsi="Arial"/>
      <w:kern w:val="0"/>
      <w:sz w:val="20"/>
      <w:szCs w:val="20"/>
      <w:lang w:eastAsia="en-US"/>
    </w:rPr>
  </w:style>
  <w:style w:type="paragraph" w:customStyle="1" w:styleId="BodyText">
    <w:name w:val="BodyText"/>
    <w:basedOn w:val="Normal"/>
    <w:qFormat/>
    <w:pPr>
      <w:spacing w:after="120"/>
      <w:textAlignment w:val="baseline"/>
    </w:pPr>
    <w:rPr>
      <w:rFonts w:ascii="Times New Roman" w:eastAsia="宋体" w:hAnsi="Times New Roman"/>
    </w:r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BodyTextIndent">
    <w:name w:val="Body Text Indent"/>
    <w:basedOn w:val="Normal"/>
    <w:link w:val="a"/>
    <w:qFormat/>
    <w:pPr>
      <w:widowControl w:val="0"/>
      <w:adjustRightInd/>
      <w:snapToGrid/>
      <w:spacing w:after="120"/>
      <w:ind w:left="420" w:leftChars="20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link w:val="a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FootnoteText">
    <w:name w:val="footnote text"/>
    <w:basedOn w:val="Normal"/>
    <w:uiPriority w:val="99"/>
    <w:semiHidden/>
    <w:unhideWhenUsed/>
    <w:qFormat/>
    <w:rPr>
      <w:sz w:val="18"/>
    </w:rPr>
  </w:style>
  <w:style w:type="paragraph" w:styleId="TOC6">
    <w:name w:val="toc 6"/>
    <w:basedOn w:val="Normal"/>
    <w:next w:val="Normal"/>
    <w:uiPriority w:val="39"/>
    <w:semiHidden/>
    <w:unhideWhenUsed/>
    <w:qFormat/>
    <w:pPr>
      <w:widowControl w:val="0"/>
      <w:adjustRightInd/>
      <w:snapToGrid/>
      <w:spacing w:after="0"/>
      <w:ind w:left="2100" w:leftChars="1000"/>
      <w:jc w:val="both"/>
    </w:pPr>
    <w:rPr>
      <w:rFonts w:ascii="Calibri" w:eastAsia="宋体" w:hAnsi="Calibri" w:cs="宋体"/>
      <w:kern w:val="2"/>
      <w:sz w:val="21"/>
      <w:szCs w:val="24"/>
    </w:rPr>
  </w:style>
  <w:style w:type="paragraph" w:styleId="NormalWeb">
    <w:name w:val="Normal (Web)"/>
    <w:basedOn w:val="Normal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TableGrid">
    <w:name w:val="Table Grid"/>
    <w:basedOn w:val="TableNormal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a">
    <w:name w:val="正文文本缩进 字符"/>
    <w:basedOn w:val="DefaultParagraphFont"/>
    <w:link w:val="BodyTextIndent"/>
    <w:qFormat/>
    <w:rPr>
      <w:rFonts w:eastAsiaTheme="minorEastAsia"/>
      <w:kern w:val="2"/>
      <w:sz w:val="21"/>
      <w:szCs w:val="24"/>
    </w:rPr>
  </w:style>
  <w:style w:type="character" w:customStyle="1" w:styleId="NormalCharacter">
    <w:name w:val="NormalCharacter"/>
    <w:qFormat/>
  </w:style>
  <w:style w:type="character" w:customStyle="1" w:styleId="a0">
    <w:name w:val="页眉 字符"/>
    <w:basedOn w:val="DefaultParagraphFont"/>
    <w:link w:val="Header"/>
    <w:uiPriority w:val="99"/>
    <w:qFormat/>
    <w:rPr>
      <w:rFonts w:ascii="Tahoma" w:hAnsi="Tahoma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Pr>
      <w:rFonts w:ascii="Tahoma" w:hAnsi="Tahoma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3BC21A-BBC3-4A47-A209-29F241BAE4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2353</Words>
  <Characters>13416</Characters>
  <Application>Microsoft Office Word</Application>
  <DocSecurity>0</DocSecurity>
  <Lines>111</Lines>
  <Paragraphs>31</Paragraphs>
  <ScaleCrop>false</ScaleCrop>
  <Company/>
  <LinksUpToDate>false</LinksUpToDate>
  <CharactersWithSpaces>15738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2021-09-23T08:29:30Z</cp:lastPrinted>
  <dcterms:created xsi:type="dcterms:W3CDTF">2021-09-16T07:50:00Z</dcterms:created>
  <dcterms:modified xsi:type="dcterms:W3CDTF">2021-09-23T08:29:57Z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4A723B24364F4C4FAAD2D0B3640B6DFB</vt:lpwstr>
  </property>
  <property fmtid="{D5CDD505-2E9C-101B-9397-08002B2CF9AE}" pid="3" name="KSOProductBuildVer">
    <vt:lpwstr>2052-11.1.0.10700</vt:lpwstr>
  </property>
</Properties>
</file>