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承德市军队离退休干部休养所</w:t>
      </w:r>
    </w:p>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bookmarkStart w:id="0" w:name="_Toc_4_4_000000000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rPr>
          <w:rFonts w:hint="eastAsia"/>
          <w:lang w:val="en-US" w:eastAsia="zh-CN"/>
        </w:rPr>
        <w:t>7</w:t>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default"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end"/>
      </w:r>
      <w:r>
        <w:rPr>
          <w:rFonts w:hint="eastAsia"/>
          <w:lang w:val="en-US" w:eastAsia="zh-CN"/>
        </w:rPr>
        <w:t>12</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13</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fldChar w:fldCharType="end"/>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2"/>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20</w:t>
      </w:r>
    </w:p>
    <w:p>
      <w:pPr>
        <w:pStyle w:val="2"/>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20</w:t>
      </w:r>
    </w:p>
    <w:p>
      <w:pPr>
        <w:pStyle w:val="2"/>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w:t>
      </w:r>
      <w:r>
        <w:rPr>
          <w:rFonts w:hint="eastAsia"/>
          <w:lang w:val="en-US" w:eastAsia="zh-CN"/>
        </w:rPr>
        <w:t>项目预算安排情况及</w:t>
      </w:r>
      <w:r>
        <w:t>绩效目标</w:t>
      </w:r>
      <w:r>
        <w:tab/>
      </w:r>
      <w:r>
        <w:fldChar w:fldCharType="end"/>
      </w:r>
      <w:r>
        <w:rPr>
          <w:rFonts w:hint="eastAsia"/>
          <w:lang w:val="en-US" w:eastAsia="zh-CN"/>
        </w:rPr>
        <w:t>21</w:t>
      </w:r>
    </w:p>
    <w:p>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end"/>
      </w:r>
      <w:r>
        <w:rPr>
          <w:rFonts w:hint="eastAsia"/>
          <w:lang w:val="en-US" w:eastAsia="zh-CN"/>
        </w:rPr>
        <w:t>25</w:t>
      </w:r>
    </w:p>
    <w:p>
      <w:pPr>
        <w:pStyle w:val="2"/>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end"/>
      </w:r>
      <w:r>
        <w:rPr>
          <w:rFonts w:hint="eastAsia"/>
          <w:lang w:val="en-US" w:eastAsia="zh-CN"/>
        </w:rPr>
        <w:t>25</w:t>
      </w:r>
    </w:p>
    <w:p>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end"/>
      </w:r>
      <w:r>
        <w:rPr>
          <w:rFonts w:hint="eastAsia"/>
          <w:lang w:val="en-US" w:eastAsia="zh-CN"/>
        </w:rPr>
        <w:t>26</w:t>
      </w:r>
    </w:p>
    <w:p>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7</w:t>
      </w:r>
      <w:bookmarkStart w:id="1" w:name="_GoBack"/>
      <w:bookmarkEnd w:id="1"/>
    </w:p>
    <w:p>
      <w:pPr>
        <w:spacing w:before="0" w:after="0"/>
        <w:ind w:firstLine="0"/>
        <w:jc w:val="center"/>
        <w:outlineLvl w:val="3"/>
      </w:pPr>
      <w:r>
        <w:fldChar w:fldCharType="end"/>
      </w: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r>
        <w:rPr>
          <w:rFonts w:ascii="方正小标宋_GBK" w:hAnsi="方正小标宋_GBK" w:eastAsia="方正小标宋_GBK" w:cs="方正小标宋_GBK"/>
          <w:b w:val="0"/>
          <w:color w:val="000000"/>
          <w:sz w:val="44"/>
        </w:rPr>
        <w:t>承德市军队离退休干部休养所收支预算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3778.73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3728.81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3778.73</w:t>
            </w:r>
          </w:p>
        </w:tc>
        <w:tc>
          <w:tcPr>
            <w:tcW w:w="4535" w:type="dxa"/>
            <w:vAlign w:val="center"/>
          </w:tcPr>
          <w:p>
            <w:pPr>
              <w:pStyle w:val="14"/>
            </w:pPr>
            <w:r>
              <w:t>本年支出合计</w:t>
            </w:r>
          </w:p>
        </w:tc>
        <w:tc>
          <w:tcPr>
            <w:tcW w:w="2126" w:type="dxa"/>
            <w:vAlign w:val="center"/>
          </w:tcPr>
          <w:p>
            <w:pPr>
              <w:pStyle w:val="15"/>
            </w:pPr>
            <w:r>
              <w:t>3778.73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3778.73</w:t>
            </w:r>
          </w:p>
        </w:tc>
        <w:tc>
          <w:tcPr>
            <w:tcW w:w="4535" w:type="dxa"/>
            <w:vAlign w:val="center"/>
          </w:tcPr>
          <w:p>
            <w:pPr>
              <w:pStyle w:val="14"/>
            </w:pPr>
            <w:r>
              <w:t>支出总计</w:t>
            </w:r>
          </w:p>
        </w:tc>
        <w:tc>
          <w:tcPr>
            <w:tcW w:w="2126" w:type="dxa"/>
            <w:vAlign w:val="center"/>
          </w:tcPr>
          <w:p>
            <w:pPr>
              <w:pStyle w:val="15"/>
            </w:pPr>
            <w:r>
              <w:t>3778.73</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3778.73</w:t>
            </w:r>
          </w:p>
        </w:tc>
        <w:tc>
          <w:tcPr>
            <w:tcW w:w="1134" w:type="dxa"/>
            <w:vAlign w:val="center"/>
          </w:tcPr>
          <w:p>
            <w:pPr>
              <w:pStyle w:val="15"/>
            </w:pPr>
            <w:r>
              <w:t>3778.73</w:t>
            </w:r>
          </w:p>
        </w:tc>
        <w:tc>
          <w:tcPr>
            <w:tcW w:w="1134" w:type="dxa"/>
            <w:vAlign w:val="center"/>
          </w:tcPr>
          <w:p>
            <w:pPr>
              <w:pStyle w:val="15"/>
            </w:pPr>
            <w:r>
              <w:t>3778.73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3728.81</w:t>
            </w:r>
          </w:p>
        </w:tc>
        <w:tc>
          <w:tcPr>
            <w:tcW w:w="1134" w:type="dxa"/>
            <w:vAlign w:val="center"/>
          </w:tcPr>
          <w:p>
            <w:pPr>
              <w:pStyle w:val="11"/>
            </w:pPr>
            <w:r>
              <w:t>3728.81</w:t>
            </w:r>
          </w:p>
        </w:tc>
        <w:tc>
          <w:tcPr>
            <w:tcW w:w="1134" w:type="dxa"/>
            <w:vAlign w:val="center"/>
          </w:tcPr>
          <w:p>
            <w:pPr>
              <w:pStyle w:val="11"/>
            </w:pPr>
            <w:r>
              <w:t>3728.81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59.29</w:t>
            </w:r>
          </w:p>
        </w:tc>
        <w:tc>
          <w:tcPr>
            <w:tcW w:w="1134" w:type="dxa"/>
            <w:vAlign w:val="center"/>
          </w:tcPr>
          <w:p>
            <w:pPr>
              <w:pStyle w:val="11"/>
            </w:pPr>
            <w:r>
              <w:t>59.29</w:t>
            </w:r>
          </w:p>
        </w:tc>
        <w:tc>
          <w:tcPr>
            <w:tcW w:w="1134" w:type="dxa"/>
            <w:vAlign w:val="center"/>
          </w:tcPr>
          <w:p>
            <w:pPr>
              <w:pStyle w:val="11"/>
            </w:pPr>
            <w:r>
              <w:t>59.29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r>
              <w:t>19.44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39.85</w:t>
            </w:r>
          </w:p>
        </w:tc>
        <w:tc>
          <w:tcPr>
            <w:tcW w:w="1134" w:type="dxa"/>
            <w:vAlign w:val="center"/>
          </w:tcPr>
          <w:p>
            <w:pPr>
              <w:pStyle w:val="11"/>
            </w:pPr>
            <w:r>
              <w:t>39.85</w:t>
            </w:r>
          </w:p>
        </w:tc>
        <w:tc>
          <w:tcPr>
            <w:tcW w:w="1134" w:type="dxa"/>
            <w:vAlign w:val="center"/>
          </w:tcPr>
          <w:p>
            <w:pPr>
              <w:pStyle w:val="11"/>
            </w:pPr>
            <w:r>
              <w:t>39.85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3669.52</w:t>
            </w:r>
          </w:p>
        </w:tc>
        <w:tc>
          <w:tcPr>
            <w:tcW w:w="1134" w:type="dxa"/>
            <w:vAlign w:val="center"/>
          </w:tcPr>
          <w:p>
            <w:pPr>
              <w:pStyle w:val="11"/>
            </w:pPr>
            <w:r>
              <w:t>3669.52</w:t>
            </w:r>
          </w:p>
        </w:tc>
        <w:tc>
          <w:tcPr>
            <w:tcW w:w="1134" w:type="dxa"/>
            <w:vAlign w:val="center"/>
          </w:tcPr>
          <w:p>
            <w:pPr>
              <w:pStyle w:val="11"/>
            </w:pPr>
            <w:r>
              <w:t>3669.52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2080902</w:t>
            </w:r>
          </w:p>
        </w:tc>
        <w:tc>
          <w:tcPr>
            <w:tcW w:w="1559" w:type="dxa"/>
            <w:vAlign w:val="center"/>
          </w:tcPr>
          <w:p>
            <w:pPr>
              <w:pStyle w:val="12"/>
            </w:pPr>
            <w:r>
              <w:t>军队移交政府的离退休人员安置</w:t>
            </w:r>
          </w:p>
        </w:tc>
        <w:tc>
          <w:tcPr>
            <w:tcW w:w="1134" w:type="dxa"/>
            <w:vAlign w:val="center"/>
          </w:tcPr>
          <w:p>
            <w:pPr>
              <w:pStyle w:val="11"/>
            </w:pPr>
            <w:r>
              <w:t>3198.00</w:t>
            </w:r>
          </w:p>
        </w:tc>
        <w:tc>
          <w:tcPr>
            <w:tcW w:w="1134" w:type="dxa"/>
            <w:vAlign w:val="center"/>
          </w:tcPr>
          <w:p>
            <w:pPr>
              <w:pStyle w:val="11"/>
            </w:pPr>
            <w:r>
              <w:t>3198.00</w:t>
            </w:r>
          </w:p>
        </w:tc>
        <w:tc>
          <w:tcPr>
            <w:tcW w:w="1134" w:type="dxa"/>
            <w:vAlign w:val="center"/>
          </w:tcPr>
          <w:p>
            <w:pPr>
              <w:pStyle w:val="11"/>
            </w:pPr>
            <w:r>
              <w:t>3198.00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2080903</w:t>
            </w:r>
          </w:p>
        </w:tc>
        <w:tc>
          <w:tcPr>
            <w:tcW w:w="1559" w:type="dxa"/>
            <w:vAlign w:val="center"/>
          </w:tcPr>
          <w:p>
            <w:pPr>
              <w:pStyle w:val="12"/>
            </w:pPr>
            <w:r>
              <w:t>军队移交政府离退休干部管理机构</w:t>
            </w:r>
          </w:p>
        </w:tc>
        <w:tc>
          <w:tcPr>
            <w:tcW w:w="1134" w:type="dxa"/>
            <w:vAlign w:val="center"/>
          </w:tcPr>
          <w:p>
            <w:pPr>
              <w:pStyle w:val="11"/>
            </w:pPr>
            <w:r>
              <w:t>471.52</w:t>
            </w:r>
          </w:p>
        </w:tc>
        <w:tc>
          <w:tcPr>
            <w:tcW w:w="1134" w:type="dxa"/>
            <w:vAlign w:val="center"/>
          </w:tcPr>
          <w:p>
            <w:pPr>
              <w:pStyle w:val="11"/>
            </w:pPr>
            <w:r>
              <w:t>471.52</w:t>
            </w:r>
          </w:p>
        </w:tc>
        <w:tc>
          <w:tcPr>
            <w:tcW w:w="1134" w:type="dxa"/>
            <w:vAlign w:val="center"/>
          </w:tcPr>
          <w:p>
            <w:pPr>
              <w:pStyle w:val="11"/>
            </w:pPr>
            <w:r>
              <w:t>471.52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16.07</w:t>
            </w:r>
          </w:p>
        </w:tc>
        <w:tc>
          <w:tcPr>
            <w:tcW w:w="1134" w:type="dxa"/>
            <w:vAlign w:val="center"/>
          </w:tcPr>
          <w:p>
            <w:pPr>
              <w:pStyle w:val="11"/>
            </w:pPr>
            <w:r>
              <w:t>16.07</w:t>
            </w:r>
          </w:p>
        </w:tc>
        <w:tc>
          <w:tcPr>
            <w:tcW w:w="1134" w:type="dxa"/>
            <w:vAlign w:val="center"/>
          </w:tcPr>
          <w:p>
            <w:pPr>
              <w:pStyle w:val="11"/>
            </w:pPr>
            <w:r>
              <w:t>16.07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r>
              <w:t>31.66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3778.73</w:t>
            </w:r>
          </w:p>
        </w:tc>
        <w:tc>
          <w:tcPr>
            <w:tcW w:w="1361" w:type="dxa"/>
            <w:vAlign w:val="center"/>
          </w:tcPr>
          <w:p>
            <w:pPr>
              <w:pStyle w:val="15"/>
            </w:pPr>
            <w:r>
              <w:t>427.73</w:t>
            </w:r>
          </w:p>
        </w:tc>
        <w:tc>
          <w:tcPr>
            <w:tcW w:w="1361" w:type="dxa"/>
            <w:vAlign w:val="center"/>
          </w:tcPr>
          <w:p>
            <w:pPr>
              <w:pStyle w:val="15"/>
            </w:pPr>
            <w:r>
              <w:t>3351.00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3728.81</w:t>
            </w:r>
          </w:p>
        </w:tc>
        <w:tc>
          <w:tcPr>
            <w:tcW w:w="1361" w:type="dxa"/>
            <w:vAlign w:val="center"/>
          </w:tcPr>
          <w:p>
            <w:pPr>
              <w:pStyle w:val="11"/>
            </w:pPr>
            <w:r>
              <w:t>377.81</w:t>
            </w:r>
          </w:p>
        </w:tc>
        <w:tc>
          <w:tcPr>
            <w:tcW w:w="1361" w:type="dxa"/>
            <w:vAlign w:val="center"/>
          </w:tcPr>
          <w:p>
            <w:pPr>
              <w:pStyle w:val="11"/>
            </w:pPr>
            <w:r>
              <w:t>3351.00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59.29</w:t>
            </w:r>
          </w:p>
        </w:tc>
        <w:tc>
          <w:tcPr>
            <w:tcW w:w="1361" w:type="dxa"/>
            <w:vAlign w:val="center"/>
          </w:tcPr>
          <w:p>
            <w:pPr>
              <w:pStyle w:val="11"/>
            </w:pPr>
            <w:r>
              <w:t>59.29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19.44</w:t>
            </w:r>
          </w:p>
        </w:tc>
        <w:tc>
          <w:tcPr>
            <w:tcW w:w="1361" w:type="dxa"/>
            <w:vAlign w:val="center"/>
          </w:tcPr>
          <w:p>
            <w:pPr>
              <w:pStyle w:val="11"/>
            </w:pPr>
            <w:r>
              <w:t>19.44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39.85</w:t>
            </w:r>
          </w:p>
        </w:tc>
        <w:tc>
          <w:tcPr>
            <w:tcW w:w="1361" w:type="dxa"/>
            <w:vAlign w:val="center"/>
          </w:tcPr>
          <w:p>
            <w:pPr>
              <w:pStyle w:val="11"/>
            </w:pPr>
            <w:r>
              <w:t>39.85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3669.52</w:t>
            </w:r>
          </w:p>
        </w:tc>
        <w:tc>
          <w:tcPr>
            <w:tcW w:w="1361" w:type="dxa"/>
            <w:vAlign w:val="center"/>
          </w:tcPr>
          <w:p>
            <w:pPr>
              <w:pStyle w:val="11"/>
            </w:pPr>
            <w:r>
              <w:t>318.52</w:t>
            </w:r>
          </w:p>
        </w:tc>
        <w:tc>
          <w:tcPr>
            <w:tcW w:w="1361" w:type="dxa"/>
            <w:vAlign w:val="center"/>
          </w:tcPr>
          <w:p>
            <w:pPr>
              <w:pStyle w:val="11"/>
            </w:pPr>
            <w:r>
              <w:t>3351.00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2080902</w:t>
            </w:r>
          </w:p>
        </w:tc>
        <w:tc>
          <w:tcPr>
            <w:tcW w:w="4535" w:type="dxa"/>
            <w:vAlign w:val="center"/>
          </w:tcPr>
          <w:p>
            <w:pPr>
              <w:pStyle w:val="12"/>
            </w:pPr>
            <w:r>
              <w:t>军队移交政府的离退休人员安置</w:t>
            </w:r>
          </w:p>
        </w:tc>
        <w:tc>
          <w:tcPr>
            <w:tcW w:w="1361" w:type="dxa"/>
            <w:vAlign w:val="center"/>
          </w:tcPr>
          <w:p>
            <w:pPr>
              <w:pStyle w:val="11"/>
            </w:pPr>
            <w:r>
              <w:t>3198.00</w:t>
            </w:r>
          </w:p>
        </w:tc>
        <w:tc>
          <w:tcPr>
            <w:tcW w:w="1361" w:type="dxa"/>
            <w:vAlign w:val="center"/>
          </w:tcPr>
          <w:p>
            <w:pPr>
              <w:pStyle w:val="11"/>
            </w:pPr>
          </w:p>
        </w:tc>
        <w:tc>
          <w:tcPr>
            <w:tcW w:w="1361" w:type="dxa"/>
            <w:vAlign w:val="center"/>
          </w:tcPr>
          <w:p>
            <w:pPr>
              <w:pStyle w:val="11"/>
            </w:pPr>
            <w:r>
              <w:t>3198.00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2080903</w:t>
            </w:r>
          </w:p>
        </w:tc>
        <w:tc>
          <w:tcPr>
            <w:tcW w:w="4535" w:type="dxa"/>
            <w:vAlign w:val="center"/>
          </w:tcPr>
          <w:p>
            <w:pPr>
              <w:pStyle w:val="12"/>
            </w:pPr>
            <w:r>
              <w:t>军队移交政府离退休干部管理机构</w:t>
            </w:r>
          </w:p>
        </w:tc>
        <w:tc>
          <w:tcPr>
            <w:tcW w:w="1361" w:type="dxa"/>
            <w:vAlign w:val="center"/>
          </w:tcPr>
          <w:p>
            <w:pPr>
              <w:pStyle w:val="11"/>
            </w:pPr>
            <w:r>
              <w:t>471.52</w:t>
            </w:r>
          </w:p>
        </w:tc>
        <w:tc>
          <w:tcPr>
            <w:tcW w:w="1361" w:type="dxa"/>
            <w:vAlign w:val="center"/>
          </w:tcPr>
          <w:p>
            <w:pPr>
              <w:pStyle w:val="11"/>
            </w:pPr>
            <w:r>
              <w:t>318.52</w:t>
            </w:r>
          </w:p>
        </w:tc>
        <w:tc>
          <w:tcPr>
            <w:tcW w:w="1361" w:type="dxa"/>
            <w:vAlign w:val="center"/>
          </w:tcPr>
          <w:p>
            <w:pPr>
              <w:pStyle w:val="11"/>
            </w:pPr>
            <w:r>
              <w:t>153.00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18.26</w:t>
            </w:r>
          </w:p>
        </w:tc>
        <w:tc>
          <w:tcPr>
            <w:tcW w:w="1361" w:type="dxa"/>
            <w:vAlign w:val="center"/>
          </w:tcPr>
          <w:p>
            <w:pPr>
              <w:pStyle w:val="11"/>
            </w:pPr>
            <w:r>
              <w:t>18.26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18.26</w:t>
            </w:r>
          </w:p>
        </w:tc>
        <w:tc>
          <w:tcPr>
            <w:tcW w:w="1361" w:type="dxa"/>
            <w:vAlign w:val="center"/>
          </w:tcPr>
          <w:p>
            <w:pPr>
              <w:pStyle w:val="11"/>
            </w:pPr>
            <w:r>
              <w:t>18.26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16.07</w:t>
            </w:r>
          </w:p>
        </w:tc>
        <w:tc>
          <w:tcPr>
            <w:tcW w:w="1361" w:type="dxa"/>
            <w:vAlign w:val="center"/>
          </w:tcPr>
          <w:p>
            <w:pPr>
              <w:pStyle w:val="11"/>
            </w:pPr>
            <w:r>
              <w:t>16.07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2.19</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31.66</w:t>
            </w:r>
          </w:p>
        </w:tc>
        <w:tc>
          <w:tcPr>
            <w:tcW w:w="1361" w:type="dxa"/>
            <w:vAlign w:val="center"/>
          </w:tcPr>
          <w:p>
            <w:pPr>
              <w:pStyle w:val="11"/>
            </w:pPr>
            <w:r>
              <w:t>31.66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31.66</w:t>
            </w:r>
          </w:p>
        </w:tc>
        <w:tc>
          <w:tcPr>
            <w:tcW w:w="1361" w:type="dxa"/>
            <w:vAlign w:val="center"/>
          </w:tcPr>
          <w:p>
            <w:pPr>
              <w:pStyle w:val="11"/>
            </w:pPr>
            <w:r>
              <w:t>31.66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31.66</w:t>
            </w:r>
          </w:p>
        </w:tc>
        <w:tc>
          <w:tcPr>
            <w:tcW w:w="1361" w:type="dxa"/>
            <w:vAlign w:val="center"/>
          </w:tcPr>
          <w:p>
            <w:pPr>
              <w:pStyle w:val="11"/>
            </w:pPr>
            <w:r>
              <w:t>31.66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3778.73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3728.81</w:t>
            </w:r>
          </w:p>
        </w:tc>
        <w:tc>
          <w:tcPr>
            <w:tcW w:w="1474" w:type="dxa"/>
            <w:vAlign w:val="center"/>
          </w:tcPr>
          <w:p>
            <w:pPr>
              <w:pStyle w:val="11"/>
            </w:pPr>
            <w:r>
              <w:t>3728.81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18.26</w:t>
            </w:r>
          </w:p>
        </w:tc>
        <w:tc>
          <w:tcPr>
            <w:tcW w:w="1474" w:type="dxa"/>
            <w:vAlign w:val="center"/>
          </w:tcPr>
          <w:p>
            <w:pPr>
              <w:pStyle w:val="11"/>
            </w:pPr>
            <w:r>
              <w:t>18.26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31.66</w:t>
            </w:r>
          </w:p>
        </w:tc>
        <w:tc>
          <w:tcPr>
            <w:tcW w:w="1474" w:type="dxa"/>
            <w:vAlign w:val="center"/>
          </w:tcPr>
          <w:p>
            <w:pPr>
              <w:pStyle w:val="11"/>
            </w:pPr>
            <w:r>
              <w:t>31.66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3778.73</w:t>
            </w:r>
          </w:p>
        </w:tc>
        <w:tc>
          <w:tcPr>
            <w:tcW w:w="3402" w:type="dxa"/>
            <w:vAlign w:val="center"/>
          </w:tcPr>
          <w:p>
            <w:pPr>
              <w:pStyle w:val="14"/>
            </w:pPr>
            <w:r>
              <w:t>本年支出合计</w:t>
            </w:r>
          </w:p>
        </w:tc>
        <w:tc>
          <w:tcPr>
            <w:tcW w:w="1474" w:type="dxa"/>
            <w:vAlign w:val="center"/>
          </w:tcPr>
          <w:p>
            <w:pPr>
              <w:pStyle w:val="15"/>
            </w:pPr>
            <w:r>
              <w:t>3778.73</w:t>
            </w:r>
          </w:p>
        </w:tc>
        <w:tc>
          <w:tcPr>
            <w:tcW w:w="1474" w:type="dxa"/>
            <w:vAlign w:val="center"/>
          </w:tcPr>
          <w:p>
            <w:pPr>
              <w:pStyle w:val="15"/>
            </w:pPr>
            <w:r>
              <w:t>3778.73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3778.73</w:t>
            </w:r>
          </w:p>
        </w:tc>
        <w:tc>
          <w:tcPr>
            <w:tcW w:w="3402" w:type="dxa"/>
            <w:vAlign w:val="center"/>
          </w:tcPr>
          <w:p>
            <w:pPr>
              <w:pStyle w:val="14"/>
            </w:pPr>
            <w:r>
              <w:t>支出总计</w:t>
            </w:r>
          </w:p>
        </w:tc>
        <w:tc>
          <w:tcPr>
            <w:tcW w:w="1474" w:type="dxa"/>
            <w:vAlign w:val="center"/>
          </w:tcPr>
          <w:p>
            <w:pPr>
              <w:pStyle w:val="15"/>
            </w:pPr>
            <w:r>
              <w:t>3778.73</w:t>
            </w:r>
          </w:p>
        </w:tc>
        <w:tc>
          <w:tcPr>
            <w:tcW w:w="1474" w:type="dxa"/>
            <w:vAlign w:val="center"/>
          </w:tcPr>
          <w:p>
            <w:pPr>
              <w:pStyle w:val="15"/>
            </w:pPr>
            <w:r>
              <w:t>3778.73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3778.73</w:t>
            </w:r>
          </w:p>
        </w:tc>
        <w:tc>
          <w:tcPr>
            <w:tcW w:w="2551" w:type="dxa"/>
            <w:vAlign w:val="center"/>
          </w:tcPr>
          <w:p>
            <w:pPr>
              <w:pStyle w:val="15"/>
            </w:pPr>
            <w:r>
              <w:t>427.73</w:t>
            </w:r>
          </w:p>
        </w:tc>
        <w:tc>
          <w:tcPr>
            <w:tcW w:w="2551" w:type="dxa"/>
            <w:vAlign w:val="center"/>
          </w:tcPr>
          <w:p>
            <w:pPr>
              <w:pStyle w:val="15"/>
            </w:pPr>
            <w:r>
              <w:t>3351.00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3728.81</w:t>
            </w:r>
          </w:p>
        </w:tc>
        <w:tc>
          <w:tcPr>
            <w:tcW w:w="2551" w:type="dxa"/>
            <w:vAlign w:val="center"/>
          </w:tcPr>
          <w:p>
            <w:pPr>
              <w:pStyle w:val="11"/>
            </w:pPr>
            <w:r>
              <w:t>377.81</w:t>
            </w:r>
          </w:p>
        </w:tc>
        <w:tc>
          <w:tcPr>
            <w:tcW w:w="2551" w:type="dxa"/>
            <w:vAlign w:val="center"/>
          </w:tcPr>
          <w:p>
            <w:pPr>
              <w:pStyle w:val="11"/>
            </w:pPr>
            <w:r>
              <w:t>3351.00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59.29</w:t>
            </w:r>
          </w:p>
        </w:tc>
        <w:tc>
          <w:tcPr>
            <w:tcW w:w="2551" w:type="dxa"/>
            <w:vAlign w:val="center"/>
          </w:tcPr>
          <w:p>
            <w:pPr>
              <w:pStyle w:val="11"/>
            </w:pPr>
            <w:r>
              <w:t>59.29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19.44</w:t>
            </w:r>
          </w:p>
        </w:tc>
        <w:tc>
          <w:tcPr>
            <w:tcW w:w="2551" w:type="dxa"/>
            <w:vAlign w:val="center"/>
          </w:tcPr>
          <w:p>
            <w:pPr>
              <w:pStyle w:val="11"/>
            </w:pPr>
            <w:r>
              <w:t>19.44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39.85</w:t>
            </w:r>
          </w:p>
        </w:tc>
        <w:tc>
          <w:tcPr>
            <w:tcW w:w="2551" w:type="dxa"/>
            <w:vAlign w:val="center"/>
          </w:tcPr>
          <w:p>
            <w:pPr>
              <w:pStyle w:val="11"/>
            </w:pPr>
            <w:r>
              <w:t>39.85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3669.52</w:t>
            </w:r>
          </w:p>
        </w:tc>
        <w:tc>
          <w:tcPr>
            <w:tcW w:w="2551" w:type="dxa"/>
            <w:vAlign w:val="center"/>
          </w:tcPr>
          <w:p>
            <w:pPr>
              <w:pStyle w:val="11"/>
            </w:pPr>
            <w:r>
              <w:t>318.52</w:t>
            </w:r>
          </w:p>
        </w:tc>
        <w:tc>
          <w:tcPr>
            <w:tcW w:w="2551" w:type="dxa"/>
            <w:vAlign w:val="center"/>
          </w:tcPr>
          <w:p>
            <w:pPr>
              <w:pStyle w:val="11"/>
            </w:pPr>
            <w:r>
              <w:t>3351.00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2080902</w:t>
            </w:r>
          </w:p>
        </w:tc>
        <w:tc>
          <w:tcPr>
            <w:tcW w:w="4535" w:type="dxa"/>
            <w:vAlign w:val="center"/>
          </w:tcPr>
          <w:p>
            <w:pPr>
              <w:pStyle w:val="12"/>
            </w:pPr>
            <w:r>
              <w:t>军队移交政府的离退休人员安置</w:t>
            </w:r>
          </w:p>
        </w:tc>
        <w:tc>
          <w:tcPr>
            <w:tcW w:w="2551" w:type="dxa"/>
            <w:vAlign w:val="center"/>
          </w:tcPr>
          <w:p>
            <w:pPr>
              <w:pStyle w:val="11"/>
            </w:pPr>
            <w:r>
              <w:t>3198.00</w:t>
            </w:r>
          </w:p>
        </w:tc>
        <w:tc>
          <w:tcPr>
            <w:tcW w:w="2551" w:type="dxa"/>
            <w:vAlign w:val="center"/>
          </w:tcPr>
          <w:p>
            <w:pPr>
              <w:pStyle w:val="11"/>
            </w:pPr>
          </w:p>
        </w:tc>
        <w:tc>
          <w:tcPr>
            <w:tcW w:w="2551" w:type="dxa"/>
            <w:vAlign w:val="center"/>
          </w:tcPr>
          <w:p>
            <w:pPr>
              <w:pStyle w:val="11"/>
            </w:pPr>
            <w:r>
              <w:t>3198.00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2080903</w:t>
            </w:r>
          </w:p>
        </w:tc>
        <w:tc>
          <w:tcPr>
            <w:tcW w:w="4535" w:type="dxa"/>
            <w:vAlign w:val="center"/>
          </w:tcPr>
          <w:p>
            <w:pPr>
              <w:pStyle w:val="12"/>
            </w:pPr>
            <w:r>
              <w:t>军队移交政府离退休干部管理机构</w:t>
            </w:r>
          </w:p>
        </w:tc>
        <w:tc>
          <w:tcPr>
            <w:tcW w:w="2551" w:type="dxa"/>
            <w:vAlign w:val="center"/>
          </w:tcPr>
          <w:p>
            <w:pPr>
              <w:pStyle w:val="11"/>
            </w:pPr>
            <w:r>
              <w:t>471.52</w:t>
            </w:r>
          </w:p>
        </w:tc>
        <w:tc>
          <w:tcPr>
            <w:tcW w:w="2551" w:type="dxa"/>
            <w:vAlign w:val="center"/>
          </w:tcPr>
          <w:p>
            <w:pPr>
              <w:pStyle w:val="11"/>
            </w:pPr>
            <w:r>
              <w:t>318.52</w:t>
            </w:r>
          </w:p>
        </w:tc>
        <w:tc>
          <w:tcPr>
            <w:tcW w:w="2551" w:type="dxa"/>
            <w:vAlign w:val="center"/>
          </w:tcPr>
          <w:p>
            <w:pPr>
              <w:pStyle w:val="11"/>
            </w:pPr>
            <w:r>
              <w:t>153.00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18.26</w:t>
            </w:r>
          </w:p>
        </w:tc>
        <w:tc>
          <w:tcPr>
            <w:tcW w:w="2551" w:type="dxa"/>
            <w:vAlign w:val="center"/>
          </w:tcPr>
          <w:p>
            <w:pPr>
              <w:pStyle w:val="11"/>
            </w:pPr>
            <w:r>
              <w:t>18.26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18.26</w:t>
            </w:r>
          </w:p>
        </w:tc>
        <w:tc>
          <w:tcPr>
            <w:tcW w:w="2551" w:type="dxa"/>
            <w:vAlign w:val="center"/>
          </w:tcPr>
          <w:p>
            <w:pPr>
              <w:pStyle w:val="11"/>
            </w:pPr>
            <w:r>
              <w:t>18.26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16.07</w:t>
            </w:r>
          </w:p>
        </w:tc>
        <w:tc>
          <w:tcPr>
            <w:tcW w:w="2551" w:type="dxa"/>
            <w:vAlign w:val="center"/>
          </w:tcPr>
          <w:p>
            <w:pPr>
              <w:pStyle w:val="11"/>
            </w:pPr>
            <w:r>
              <w:t>16.07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31.66</w:t>
            </w:r>
          </w:p>
        </w:tc>
        <w:tc>
          <w:tcPr>
            <w:tcW w:w="2551" w:type="dxa"/>
            <w:vAlign w:val="center"/>
          </w:tcPr>
          <w:p>
            <w:pPr>
              <w:pStyle w:val="11"/>
            </w:pPr>
            <w:r>
              <w:t>31.66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31.66</w:t>
            </w:r>
          </w:p>
        </w:tc>
        <w:tc>
          <w:tcPr>
            <w:tcW w:w="2551" w:type="dxa"/>
            <w:vAlign w:val="center"/>
          </w:tcPr>
          <w:p>
            <w:pPr>
              <w:pStyle w:val="11"/>
            </w:pPr>
            <w:r>
              <w:t>31.66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31.66</w:t>
            </w:r>
          </w:p>
        </w:tc>
        <w:tc>
          <w:tcPr>
            <w:tcW w:w="2551" w:type="dxa"/>
            <w:vAlign w:val="center"/>
          </w:tcPr>
          <w:p>
            <w:pPr>
              <w:pStyle w:val="11"/>
            </w:pPr>
            <w:r>
              <w:t>31.66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427.73</w:t>
            </w:r>
          </w:p>
        </w:tc>
        <w:tc>
          <w:tcPr>
            <w:tcW w:w="2551" w:type="dxa"/>
            <w:vAlign w:val="center"/>
          </w:tcPr>
          <w:p>
            <w:pPr>
              <w:pStyle w:val="15"/>
            </w:pPr>
            <w:r>
              <w:t>403.30</w:t>
            </w:r>
          </w:p>
        </w:tc>
        <w:tc>
          <w:tcPr>
            <w:tcW w:w="2551" w:type="dxa"/>
            <w:vAlign w:val="center"/>
          </w:tcPr>
          <w:p>
            <w:pPr>
              <w:pStyle w:val="15"/>
            </w:pPr>
            <w:r>
              <w:t>24.43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385.35</w:t>
            </w:r>
          </w:p>
        </w:tc>
        <w:tc>
          <w:tcPr>
            <w:tcW w:w="2551" w:type="dxa"/>
            <w:vAlign w:val="center"/>
          </w:tcPr>
          <w:p>
            <w:pPr>
              <w:pStyle w:val="11"/>
            </w:pPr>
            <w:r>
              <w:t>385.35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138.10</w:t>
            </w:r>
          </w:p>
        </w:tc>
        <w:tc>
          <w:tcPr>
            <w:tcW w:w="2551" w:type="dxa"/>
            <w:vAlign w:val="center"/>
          </w:tcPr>
          <w:p>
            <w:pPr>
              <w:pStyle w:val="11"/>
            </w:pPr>
            <w:r>
              <w:t>138.10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23.16</w:t>
            </w:r>
          </w:p>
        </w:tc>
        <w:tc>
          <w:tcPr>
            <w:tcW w:w="2551" w:type="dxa"/>
            <w:vAlign w:val="center"/>
          </w:tcPr>
          <w:p>
            <w:pPr>
              <w:pStyle w:val="11"/>
            </w:pPr>
            <w:r>
              <w:t>23.16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131.47</w:t>
            </w:r>
          </w:p>
        </w:tc>
        <w:tc>
          <w:tcPr>
            <w:tcW w:w="2551" w:type="dxa"/>
            <w:vAlign w:val="center"/>
          </w:tcPr>
          <w:p>
            <w:pPr>
              <w:pStyle w:val="11"/>
            </w:pPr>
            <w:r>
              <w:t>131.47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39.85</w:t>
            </w:r>
          </w:p>
        </w:tc>
        <w:tc>
          <w:tcPr>
            <w:tcW w:w="2551" w:type="dxa"/>
            <w:vAlign w:val="center"/>
          </w:tcPr>
          <w:p>
            <w:pPr>
              <w:pStyle w:val="11"/>
            </w:pPr>
            <w:r>
              <w:t>39.85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16.07</w:t>
            </w:r>
          </w:p>
        </w:tc>
        <w:tc>
          <w:tcPr>
            <w:tcW w:w="2551" w:type="dxa"/>
            <w:vAlign w:val="center"/>
          </w:tcPr>
          <w:p>
            <w:pPr>
              <w:pStyle w:val="11"/>
            </w:pPr>
            <w:r>
              <w:t>16.07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2.19</w:t>
            </w:r>
          </w:p>
        </w:tc>
        <w:tc>
          <w:tcPr>
            <w:tcW w:w="2551" w:type="dxa"/>
            <w:vAlign w:val="center"/>
          </w:tcPr>
          <w:p>
            <w:pPr>
              <w:pStyle w:val="11"/>
            </w:pPr>
            <w:r>
              <w:t>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2.85</w:t>
            </w:r>
          </w:p>
        </w:tc>
        <w:tc>
          <w:tcPr>
            <w:tcW w:w="2551" w:type="dxa"/>
            <w:vAlign w:val="center"/>
          </w:tcPr>
          <w:p>
            <w:pPr>
              <w:pStyle w:val="11"/>
            </w:pPr>
            <w:r>
              <w:t>2.85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31.66</w:t>
            </w:r>
          </w:p>
        </w:tc>
        <w:tc>
          <w:tcPr>
            <w:tcW w:w="2551" w:type="dxa"/>
            <w:vAlign w:val="center"/>
          </w:tcPr>
          <w:p>
            <w:pPr>
              <w:pStyle w:val="11"/>
            </w:pPr>
            <w:r>
              <w:t>31.66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24.43</w:t>
            </w:r>
          </w:p>
        </w:tc>
        <w:tc>
          <w:tcPr>
            <w:tcW w:w="2551" w:type="dxa"/>
            <w:vAlign w:val="center"/>
          </w:tcPr>
          <w:p>
            <w:pPr>
              <w:pStyle w:val="11"/>
            </w:pPr>
          </w:p>
        </w:tc>
        <w:tc>
          <w:tcPr>
            <w:tcW w:w="2551" w:type="dxa"/>
            <w:vAlign w:val="center"/>
          </w:tcPr>
          <w:p>
            <w:pPr>
              <w:pStyle w:val="11"/>
            </w:pPr>
            <w:r>
              <w:t>24.43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8.75</w:t>
            </w:r>
          </w:p>
        </w:tc>
        <w:tc>
          <w:tcPr>
            <w:tcW w:w="2551" w:type="dxa"/>
            <w:vAlign w:val="center"/>
          </w:tcPr>
          <w:p>
            <w:pPr>
              <w:pStyle w:val="11"/>
            </w:pPr>
          </w:p>
        </w:tc>
        <w:tc>
          <w:tcPr>
            <w:tcW w:w="2551" w:type="dxa"/>
            <w:vAlign w:val="center"/>
          </w:tcPr>
          <w:p>
            <w:pPr>
              <w:pStyle w:val="11"/>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0.37</w:t>
            </w:r>
          </w:p>
        </w:tc>
        <w:tc>
          <w:tcPr>
            <w:tcW w:w="2551" w:type="dxa"/>
            <w:vAlign w:val="center"/>
          </w:tcPr>
          <w:p>
            <w:pPr>
              <w:pStyle w:val="11"/>
            </w:pPr>
          </w:p>
        </w:tc>
        <w:tc>
          <w:tcPr>
            <w:tcW w:w="2551"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2.62</w:t>
            </w:r>
          </w:p>
        </w:tc>
        <w:tc>
          <w:tcPr>
            <w:tcW w:w="2551" w:type="dxa"/>
            <w:vAlign w:val="center"/>
          </w:tcPr>
          <w:p>
            <w:pPr>
              <w:pStyle w:val="11"/>
            </w:pPr>
          </w:p>
        </w:tc>
        <w:tc>
          <w:tcPr>
            <w:tcW w:w="2551" w:type="dxa"/>
            <w:vAlign w:val="center"/>
          </w:tcPr>
          <w:p>
            <w:pPr>
              <w:pStyle w:val="11"/>
            </w:pPr>
            <w:r>
              <w:t>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3.39</w:t>
            </w:r>
          </w:p>
        </w:tc>
        <w:tc>
          <w:tcPr>
            <w:tcW w:w="2551" w:type="dxa"/>
            <w:vAlign w:val="center"/>
          </w:tcPr>
          <w:p>
            <w:pPr>
              <w:pStyle w:val="11"/>
            </w:pPr>
          </w:p>
        </w:tc>
        <w:tc>
          <w:tcPr>
            <w:tcW w:w="2551" w:type="dxa"/>
            <w:vAlign w:val="center"/>
          </w:tcPr>
          <w:p>
            <w:pPr>
              <w:pStyle w:val="11"/>
            </w:pPr>
            <w:r>
              <w:t>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17.95</w:t>
            </w:r>
          </w:p>
        </w:tc>
        <w:tc>
          <w:tcPr>
            <w:tcW w:w="2551" w:type="dxa"/>
            <w:vAlign w:val="center"/>
          </w:tcPr>
          <w:p>
            <w:pPr>
              <w:pStyle w:val="11"/>
            </w:pPr>
            <w:r>
              <w:t>17.95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17.95</w:t>
            </w:r>
          </w:p>
        </w:tc>
        <w:tc>
          <w:tcPr>
            <w:tcW w:w="2551" w:type="dxa"/>
            <w:vAlign w:val="center"/>
          </w:tcPr>
          <w:p>
            <w:pPr>
              <w:pStyle w:val="11"/>
            </w:pPr>
            <w:r>
              <w:t>17.95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3.76</w:t>
            </w:r>
          </w:p>
        </w:tc>
        <w:tc>
          <w:tcPr>
            <w:tcW w:w="2381" w:type="dxa"/>
            <w:vAlign w:val="center"/>
          </w:tcPr>
          <w:p>
            <w:pPr>
              <w:pStyle w:val="15"/>
            </w:pPr>
            <w:r>
              <w:t>3.76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3.76</w:t>
            </w:r>
          </w:p>
        </w:tc>
        <w:tc>
          <w:tcPr>
            <w:tcW w:w="2381" w:type="dxa"/>
            <w:vAlign w:val="center"/>
          </w:tcPr>
          <w:p>
            <w:pPr>
              <w:pStyle w:val="11"/>
            </w:pPr>
            <w:r>
              <w:t>3.76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3.39</w:t>
            </w:r>
          </w:p>
        </w:tc>
        <w:tc>
          <w:tcPr>
            <w:tcW w:w="2381" w:type="dxa"/>
            <w:vAlign w:val="center"/>
          </w:tcPr>
          <w:p>
            <w:pPr>
              <w:pStyle w:val="11"/>
            </w:pPr>
            <w:r>
              <w:t>3.39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3.39</w:t>
            </w:r>
          </w:p>
        </w:tc>
        <w:tc>
          <w:tcPr>
            <w:tcW w:w="2381" w:type="dxa"/>
            <w:vAlign w:val="center"/>
          </w:tcPr>
          <w:p>
            <w:pPr>
              <w:pStyle w:val="11"/>
            </w:pPr>
            <w:r>
              <w:t>3.39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0.37</w:t>
            </w:r>
          </w:p>
        </w:tc>
        <w:tc>
          <w:tcPr>
            <w:tcW w:w="2381" w:type="dxa"/>
            <w:vAlign w:val="center"/>
          </w:tcPr>
          <w:p>
            <w:pPr>
              <w:pStyle w:val="11"/>
            </w:pPr>
            <w:r>
              <w:t>0.37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承德市军队离退休干部休养所2026年单位预算信息公开情况说明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按照《中华人民共和国预算法》、《地方预决算公开操作规程》和《关于进一步推进预算公开工作的实施意见》规定，现将承德市军队离退休干部休养所2026年单位预算公开如下：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负责认真贯彻上级有关军队离退休干部文件的方针、政策、落实军休干部的政治和生活待遇；负责做好休养所建设、房产管理维修工作；负责做好军休干部的医疗保障等工作。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承德市军队离退休干部休养所</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二、单位预算安排的总体情况</w:t>
      </w:r>
    </w:p>
    <w:p>
      <w:pPr>
        <w:spacing w:before="10" w:after="10" w:line="240" w:lineRule="auto"/>
        <w:ind w:firstLine="640"/>
        <w:jc w:val="left"/>
        <w:outlineLvl w:val="5"/>
        <w:rPr>
          <w:rFonts w:hint="eastAsia" w:ascii="Times New Roman" w:hAnsi="Times New Roman" w:eastAsia="方正仿宋_GBK" w:cs="Times New Roman"/>
          <w:b w:val="0"/>
          <w:color w:val="000000"/>
          <w:sz w:val="28"/>
          <w:szCs w:val="24"/>
          <w:lang w:val="en-US" w:eastAsia="uk-UA" w:bidi="ar-SA"/>
        </w:rPr>
      </w:pPr>
      <w:r>
        <w:rPr>
          <w:rFonts w:ascii="宋体" w:hAnsi="宋体" w:eastAsia="宋体" w:cs="宋体"/>
          <w:sz w:val="24"/>
          <w:szCs w:val="24"/>
        </w:rPr>
        <w:t> </w:t>
      </w:r>
      <w:r>
        <w:rPr>
          <w:rFonts w:hint="eastAsia" w:ascii="Times New Roman" w:hAnsi="Times New Roman" w:eastAsia="方正仿宋_GBK" w:cs="Times New Roman"/>
          <w:b w:val="0"/>
          <w:color w:val="000000"/>
          <w:sz w:val="28"/>
          <w:szCs w:val="24"/>
          <w:lang w:val="en-US" w:eastAsia="uk-UA" w:bidi="ar-SA"/>
        </w:rPr>
        <w:t>按照预算管理有关规定，目前单位预算的编制实行综合预算管理，即全部收入和支出都反映在预算中。</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1、收入说明</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反映本单位当年全部收入。2026年预算收入3778.73万元，其中：一般公共预算收入3778.73万元，基金预算收入0.00万元， 国有资本经营预算收入0.00万元，财政专户核拨收入0.00万元，单位资金收入0.00万元，上年结转结余0.00万元。</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2、支出说明</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w:t>
      </w:r>
      <w:r>
        <w:rPr>
          <w:rFonts w:hint="eastAsia" w:ascii="Times New Roman" w:hAnsi="Times New Roman" w:eastAsia="方正仿宋_GBK" w:cs="Times New Roman"/>
          <w:b w:val="0"/>
          <w:color w:val="000000"/>
          <w:sz w:val="28"/>
          <w:szCs w:val="24"/>
          <w:lang w:val="en-US" w:eastAsia="uk-UA" w:bidi="ar-SA"/>
        </w:rPr>
        <w:t>收支预算总表支出栏、基本支出表、项目支出表按经济分类和支出功能分类科目编制，反映承德市军队离退休干部休养所年度单位预算中支出预算的总体情况。 2026年支出预算3778.73万元，其中基本支出427.73万元，包括人员经费403.30万元和日常公用经费24.43万元；项目支出3351.00万元， 主要为:根据承财社【2026】6号下达2026年中央财政退役安置补助经费预算用于1987年至2025年接收并由中央财政负担经费的军队离退休干部（含退休士官）和无军籍退休退职职工2026年所需人员经费，以及符合规定的离退休干部及其家属，遗属医疗和生活保障补助经费等；二是移交政府安置军队离退休干部服务管理机构基本支出、项目支出，以及无军籍退休退职职工管理经费等</w:t>
      </w:r>
      <w:r>
        <w:rPr>
          <w:rFonts w:hint="eastAsia" w:ascii="Times New Roman" w:hAnsi="Times New Roman" w:eastAsia="方正仿宋_GBK" w:cs="Times New Roman"/>
          <w:b w:val="0"/>
          <w:color w:val="000000"/>
          <w:sz w:val="28"/>
          <w:szCs w:val="24"/>
          <w:lang w:val="en-US" w:eastAsia="uk-UA" w:bidi="ar-SA"/>
        </w:rPr>
        <w:t>；预计下年使用的单位资金结余0.00万元。委托业务费共计安排0.00万元，主要用于因技术原因确需对外委托的辅助性工作和确有必要对外委托开展咨询、评审、规划等工作。</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3、比上年增减情况</w:t>
      </w:r>
      <w:r>
        <w:rPr>
          <w:rFonts w:hint="eastAsia" w:ascii="Times New Roman" w:hAnsi="Times New Roman" w:eastAsia="方正仿宋_GBK" w:cs="Times New Roman"/>
          <w:b w:val="0"/>
          <w:color w:val="000000"/>
          <w:sz w:val="28"/>
          <w:szCs w:val="24"/>
          <w:lang w:val="en-US" w:eastAsia="uk-UA" w:bidi="ar-SA"/>
        </w:rPr>
        <w:br w:type="textWrapping"/>
      </w:r>
      <w:r>
        <w:rPr>
          <w:rFonts w:hint="eastAsia" w:ascii="Times New Roman" w:hAnsi="Times New Roman" w:eastAsia="方正仿宋_GBK" w:cs="Times New Roman"/>
          <w:b w:val="0"/>
          <w:color w:val="000000"/>
          <w:sz w:val="28"/>
          <w:szCs w:val="24"/>
          <w:lang w:val="en-US" w:eastAsia="uk-UA" w:bidi="ar-SA"/>
        </w:rPr>
        <w:t>       2026年预算收支安排3778.73万元，较2025年预算减少282.93万元， 其中：基本支出增加8.44万元，主要为：2026年工作人员工资及保险的增加</w:t>
      </w:r>
      <w:r>
        <w:rPr>
          <w:rFonts w:hint="eastAsia" w:eastAsia="方正仿宋_GBK" w:cs="Times New Roman"/>
          <w:b w:val="0"/>
          <w:color w:val="000000"/>
          <w:sz w:val="28"/>
          <w:szCs w:val="24"/>
          <w:lang w:val="en-US" w:eastAsia="zh-CN" w:bidi="ar-SA"/>
        </w:rPr>
        <w:t>。</w:t>
      </w:r>
      <w:r>
        <w:rPr>
          <w:rFonts w:hint="eastAsia" w:ascii="Times New Roman" w:hAnsi="Times New Roman" w:eastAsia="方正仿宋_GBK" w:cs="Times New Roman"/>
          <w:b w:val="0"/>
          <w:color w:val="000000"/>
          <w:sz w:val="28"/>
          <w:szCs w:val="24"/>
          <w:lang w:val="en-US" w:eastAsia="uk-UA" w:bidi="ar-SA"/>
        </w:rPr>
        <w:t> 项目支出减少291.37万元，主要为：军休干部人员减少</w:t>
      </w:r>
      <w:r>
        <w:rPr>
          <w:rFonts w:hint="eastAsia" w:eastAsia="方正仿宋_GBK" w:cs="Times New Roman"/>
          <w:b w:val="0"/>
          <w:color w:val="000000"/>
          <w:sz w:val="28"/>
          <w:szCs w:val="24"/>
          <w:lang w:val="en-US" w:eastAsia="zh-CN" w:bidi="ar-SA"/>
        </w:rPr>
        <w:t>。</w:t>
      </w:r>
      <w:r>
        <w:rPr>
          <w:rFonts w:hint="eastAsia" w:ascii="Times New Roman" w:hAnsi="Times New Roman" w:eastAsia="方正仿宋_GBK" w:cs="Times New Roman"/>
          <w:b w:val="0"/>
          <w:color w:val="000000"/>
          <w:sz w:val="28"/>
          <w:szCs w:val="24"/>
          <w:lang w:val="en-US" w:eastAsia="uk-UA" w:bidi="ar-SA"/>
        </w:rPr>
        <w:t>预计下年使用的单位资金结余增加0.00万元。</w:t>
      </w:r>
    </w:p>
    <w:p>
      <w:pPr>
        <w:pStyle w:val="18"/>
        <w:rPr>
          <w:rFonts w:hint="eastAsia" w:ascii="Times New Roman" w:hAnsi="Times New Roman" w:eastAsia="方正仿宋_GBK" w:cs="Times New Roman"/>
          <w:b w:val="0"/>
          <w:color w:val="000000"/>
          <w:sz w:val="28"/>
          <w:szCs w:val="24"/>
          <w:lang w:val="en-US" w:eastAsia="uk-UA" w:bidi="ar-SA"/>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hint="eastAsia" w:ascii="Times New Roman" w:hAnsi="Times New Roman" w:eastAsia="方正仿宋_GBK" w:cs="Times New Roman"/>
          <w:b w:val="0"/>
          <w:color w:val="000000"/>
          <w:sz w:val="28"/>
          <w:szCs w:val="24"/>
          <w:lang w:val="en-US" w:eastAsia="uk-UA" w:bidi="ar-SA"/>
        </w:rPr>
      </w:pPr>
      <w:r>
        <w:rPr>
          <w:rFonts w:ascii="宋体" w:hAnsi="宋体" w:eastAsia="宋体" w:cs="宋体"/>
          <w:sz w:val="24"/>
          <w:szCs w:val="24"/>
        </w:rPr>
        <w:t> </w:t>
      </w:r>
      <w:r>
        <w:rPr>
          <w:rFonts w:hint="eastAsia" w:ascii="Times New Roman" w:hAnsi="Times New Roman" w:eastAsia="方正仿宋_GBK" w:cs="Times New Roman"/>
          <w:b w:val="0"/>
          <w:color w:val="000000"/>
          <w:sz w:val="28"/>
          <w:szCs w:val="24"/>
          <w:lang w:val="en-US" w:eastAsia="uk-UA" w:bidi="ar-SA"/>
        </w:rPr>
        <w:t>2026年，我单位机关运行经费共计安排24.43万元，主要用于日常维修、办公用房水电费、办公用房取暖费、 办公用房物业管理费等日常运行支出。</w:t>
      </w:r>
    </w:p>
    <w:p>
      <w:pPr>
        <w:pStyle w:val="19"/>
        <w:rPr>
          <w:rFonts w:hint="eastAsia" w:ascii="Times New Roman" w:hAnsi="Times New Roman" w:eastAsia="方正仿宋_GBK" w:cs="Times New Roman"/>
          <w:b w:val="0"/>
          <w:color w:val="000000"/>
          <w:sz w:val="28"/>
          <w:szCs w:val="24"/>
          <w:lang w:val="en-US" w:eastAsia="uk-UA" w:bidi="ar-SA"/>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ascii="Times New Roman" w:hAnsi="Times New Roman" w:eastAsia="方正仿宋_GBK" w:cs="Times New Roman"/>
          <w:b w:val="0"/>
          <w:color w:val="000000"/>
          <w:sz w:val="28"/>
          <w:szCs w:val="24"/>
          <w:lang w:val="en-US" w:eastAsia="zh-CN" w:bidi="ar-SA"/>
        </w:rPr>
      </w:pPr>
      <w:r>
        <w:rPr>
          <w:rFonts w:ascii="宋体" w:hAnsi="宋体" w:eastAsia="宋体" w:cs="宋体"/>
          <w:sz w:val="24"/>
          <w:szCs w:val="24"/>
        </w:rPr>
        <w:t>  </w:t>
      </w:r>
      <w:r>
        <w:rPr>
          <w:rFonts w:hint="eastAsia" w:ascii="Times New Roman" w:hAnsi="Times New Roman" w:eastAsia="方正仿宋_GBK" w:cs="Times New Roman"/>
          <w:b w:val="0"/>
          <w:color w:val="000000"/>
          <w:sz w:val="28"/>
          <w:szCs w:val="24"/>
          <w:lang w:val="en-US" w:eastAsia="uk-UA" w:bidi="ar-SA"/>
        </w:rPr>
        <w:t>2026年，我单位财政拨款“三公”经费预算安排3.76万元，其中因公出国（境）费0.00万元； 公务用车购置及运维费3.39万元（其中：公务用车购置费为0.00万元，公务用车运维费3.39万元)； 公务接待费0.37万元。与2025年相比减少0.14万元， 增减变化的主要原因是：公务接待次数减少</w:t>
      </w:r>
      <w:r>
        <w:rPr>
          <w:rFonts w:hint="eastAsia" w:cs="Times New Roman"/>
          <w:b w:val="0"/>
          <w:color w:val="000000"/>
          <w:sz w:val="28"/>
          <w:szCs w:val="24"/>
          <w:lang w:val="en-US" w:eastAsia="zh-CN" w:bidi="ar-SA"/>
        </w:rPr>
        <w:t>。</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pPr>
      <w:r>
        <w:rPr>
          <w:rFonts w:ascii="方正仿宋_GBK" w:hAnsi="方正仿宋_GBK" w:eastAsia="方正仿宋_GBK" w:cs="方正仿宋_GBK"/>
          <w:b/>
          <w:color w:val="000000"/>
          <w:sz w:val="28"/>
        </w:rPr>
        <w:t>1、2026年省级财政退役安置补助项目（军休所）绩效目标表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13080026P00001710002P</w:t>
            </w:r>
          </w:p>
        </w:tc>
        <w:tc>
          <w:tcPr>
            <w:tcW w:w="2835" w:type="dxa"/>
            <w:vAlign w:val="center"/>
          </w:tcPr>
          <w:p>
            <w:pPr>
              <w:pStyle w:val="10"/>
            </w:pPr>
            <w:r>
              <w:t>项目名称</w:t>
            </w:r>
          </w:p>
        </w:tc>
        <w:tc>
          <w:tcPr>
            <w:tcW w:w="6095" w:type="dxa"/>
            <w:gridSpan w:val="3"/>
            <w:vAlign w:val="center"/>
          </w:tcPr>
          <w:p>
            <w:pPr>
              <w:pStyle w:val="12"/>
            </w:pPr>
            <w:r>
              <w:t>2026年省级财政退役安置补助项目（军休所）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将64万元作为200名军队离退休干部及无经济收入家属、遗属医疗生活补助支出，提升医疗卫生保障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30%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1.截止2026年12月31日，将64万元作为200名军队离退休干部及无经济收入家属、遗属医疗生活补助支出，提升医疗卫生保障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军休干部及无经济收入家属、遗属享受医疗补助人数</w:t>
            </w:r>
          </w:p>
        </w:tc>
        <w:tc>
          <w:tcPr>
            <w:tcW w:w="5386" w:type="dxa"/>
            <w:vAlign w:val="center"/>
          </w:tcPr>
          <w:p>
            <w:pPr>
              <w:pStyle w:val="12"/>
            </w:pPr>
            <w:r>
              <w:t>军休干部及无经济收入家属、遗属享受医疗补助人数</w:t>
            </w:r>
          </w:p>
        </w:tc>
        <w:tc>
          <w:tcPr>
            <w:tcW w:w="2268" w:type="dxa"/>
            <w:vAlign w:val="center"/>
          </w:tcPr>
          <w:p>
            <w:pPr>
              <w:pStyle w:val="12"/>
            </w:pPr>
            <w:r>
              <w:t>≥200人</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离退休人员医疗补助经费使用符合政策规定</w:t>
            </w:r>
          </w:p>
        </w:tc>
        <w:tc>
          <w:tcPr>
            <w:tcW w:w="5386" w:type="dxa"/>
            <w:vAlign w:val="center"/>
          </w:tcPr>
          <w:p>
            <w:pPr>
              <w:pStyle w:val="12"/>
            </w:pPr>
            <w:r>
              <w:t>用于发放军休人员及无经济收入家属、遗属的医疗补助</w:t>
            </w:r>
          </w:p>
        </w:tc>
        <w:tc>
          <w:tcPr>
            <w:tcW w:w="2268" w:type="dxa"/>
            <w:vAlign w:val="center"/>
          </w:tcPr>
          <w:p>
            <w:pPr>
              <w:pStyle w:val="12"/>
            </w:pPr>
            <w:r>
              <w:t>100%</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医疗补助经费发放时效</w:t>
            </w:r>
          </w:p>
        </w:tc>
        <w:tc>
          <w:tcPr>
            <w:tcW w:w="5386" w:type="dxa"/>
            <w:vAlign w:val="center"/>
          </w:tcPr>
          <w:p>
            <w:pPr>
              <w:pStyle w:val="12"/>
            </w:pPr>
            <w:r>
              <w:t>补助发放及时性</w:t>
            </w:r>
          </w:p>
        </w:tc>
        <w:tc>
          <w:tcPr>
            <w:tcW w:w="2268" w:type="dxa"/>
            <w:vAlign w:val="center"/>
          </w:tcPr>
          <w:p>
            <w:pPr>
              <w:pStyle w:val="12"/>
            </w:pPr>
            <w:r>
              <w:t>2026年12月31日前完成</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经费发放总额</w:t>
            </w:r>
          </w:p>
        </w:tc>
        <w:tc>
          <w:tcPr>
            <w:tcW w:w="5386" w:type="dxa"/>
            <w:vAlign w:val="center"/>
          </w:tcPr>
          <w:p>
            <w:pPr>
              <w:pStyle w:val="12"/>
            </w:pPr>
            <w:r>
              <w:t>反映医疗补助经费发放总额</w:t>
            </w:r>
          </w:p>
        </w:tc>
        <w:tc>
          <w:tcPr>
            <w:tcW w:w="2268" w:type="dxa"/>
            <w:vAlign w:val="center"/>
          </w:tcPr>
          <w:p>
            <w:pPr>
              <w:pStyle w:val="12"/>
            </w:pPr>
            <w:r>
              <w:t>≤64万元</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医疗经费补助发放覆盖率</w:t>
            </w:r>
          </w:p>
        </w:tc>
        <w:tc>
          <w:tcPr>
            <w:tcW w:w="5386" w:type="dxa"/>
            <w:vAlign w:val="center"/>
          </w:tcPr>
          <w:p>
            <w:pPr>
              <w:pStyle w:val="12"/>
            </w:pPr>
            <w:r>
              <w:t>反映经费发放给军休人员及其家属、遗属的覆盖情况</w:t>
            </w:r>
          </w:p>
        </w:tc>
        <w:tc>
          <w:tcPr>
            <w:tcW w:w="2268" w:type="dxa"/>
            <w:vAlign w:val="center"/>
          </w:tcPr>
          <w:p>
            <w:pPr>
              <w:pStyle w:val="12"/>
            </w:pPr>
            <w:r>
              <w:t>100%</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军队离退休干部满意度</w:t>
            </w:r>
          </w:p>
        </w:tc>
        <w:tc>
          <w:tcPr>
            <w:tcW w:w="5386" w:type="dxa"/>
            <w:vAlign w:val="center"/>
          </w:tcPr>
          <w:p>
            <w:pPr>
              <w:pStyle w:val="12"/>
            </w:pPr>
            <w:r>
              <w:t>军队离退休干部满意度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2、2026年中央财政退役安置补助项目（军休所机构经费）绩效目标表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13080026P00001510002C</w:t>
            </w:r>
          </w:p>
        </w:tc>
        <w:tc>
          <w:tcPr>
            <w:tcW w:w="2835" w:type="dxa"/>
            <w:vAlign w:val="center"/>
          </w:tcPr>
          <w:p>
            <w:pPr>
              <w:pStyle w:val="10"/>
            </w:pPr>
            <w:r>
              <w:t>项目名称</w:t>
            </w:r>
          </w:p>
        </w:tc>
        <w:tc>
          <w:tcPr>
            <w:tcW w:w="6095" w:type="dxa"/>
            <w:gridSpan w:val="3"/>
            <w:vAlign w:val="center"/>
          </w:tcPr>
          <w:p>
            <w:pPr>
              <w:pStyle w:val="12"/>
            </w:pPr>
            <w:r>
              <w:t>2026年中央财政退役安置补助项目（军休所机构经费）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153.00</w:t>
            </w:r>
          </w:p>
        </w:tc>
        <w:tc>
          <w:tcPr>
            <w:tcW w:w="2835" w:type="dxa"/>
            <w:vAlign w:val="center"/>
          </w:tcPr>
          <w:p>
            <w:pPr>
              <w:pStyle w:val="10"/>
            </w:pPr>
            <w:r>
              <w:t>其中：财政    资金</w:t>
            </w:r>
          </w:p>
        </w:tc>
        <w:tc>
          <w:tcPr>
            <w:tcW w:w="2551" w:type="dxa"/>
            <w:vAlign w:val="center"/>
          </w:tcPr>
          <w:p>
            <w:pPr>
              <w:pStyle w:val="12"/>
            </w:pPr>
            <w:r>
              <w:t>153.00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将153万元用于改善落实年度审定人员的服务管理机构用房，完成年度接收安置工作，提升军休机构服务水平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4" w:type="dxa"/>
            <w:gridSpan w:val="2"/>
            <w:vAlign w:val="center"/>
          </w:tcPr>
          <w:p>
            <w:pPr>
              <w:pStyle w:val="13"/>
            </w:pPr>
            <w:r>
              <w:t>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1.截止2026年12月31日，将153万元用于改善落实年度审定人员的服务管理机构用房，完成年度接收安置工作，提升军休机构服务水平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军休服务用房数量</w:t>
            </w:r>
          </w:p>
        </w:tc>
        <w:tc>
          <w:tcPr>
            <w:tcW w:w="5386" w:type="dxa"/>
            <w:vAlign w:val="center"/>
          </w:tcPr>
          <w:p>
            <w:pPr>
              <w:pStyle w:val="12"/>
            </w:pPr>
            <w:r>
              <w:t>审定人员服务管理机构用房数量</w:t>
            </w:r>
          </w:p>
        </w:tc>
        <w:tc>
          <w:tcPr>
            <w:tcW w:w="2268" w:type="dxa"/>
            <w:vAlign w:val="center"/>
          </w:tcPr>
          <w:p>
            <w:pPr>
              <w:pStyle w:val="12"/>
            </w:pPr>
            <w:r>
              <w:t>≥1个</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军休服务机构保障率</w:t>
            </w:r>
          </w:p>
        </w:tc>
        <w:tc>
          <w:tcPr>
            <w:tcW w:w="5386" w:type="dxa"/>
            <w:vAlign w:val="center"/>
          </w:tcPr>
          <w:p>
            <w:pPr>
              <w:pStyle w:val="12"/>
            </w:pPr>
            <w:r>
              <w:t>改善军队用房管理机构保障情况</w:t>
            </w:r>
          </w:p>
        </w:tc>
        <w:tc>
          <w:tcPr>
            <w:tcW w:w="2268" w:type="dxa"/>
            <w:vAlign w:val="center"/>
          </w:tcPr>
          <w:p>
            <w:pPr>
              <w:pStyle w:val="12"/>
            </w:pPr>
            <w:r>
              <w:t>100%</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改善服务管理机构用房及时性</w:t>
            </w:r>
          </w:p>
        </w:tc>
        <w:tc>
          <w:tcPr>
            <w:tcW w:w="5386" w:type="dxa"/>
            <w:vAlign w:val="center"/>
          </w:tcPr>
          <w:p>
            <w:pPr>
              <w:pStyle w:val="12"/>
            </w:pPr>
            <w:r>
              <w:t>反映按计划及时完成服务机构改善情况</w:t>
            </w:r>
          </w:p>
        </w:tc>
        <w:tc>
          <w:tcPr>
            <w:tcW w:w="2268" w:type="dxa"/>
            <w:vAlign w:val="center"/>
          </w:tcPr>
          <w:p>
            <w:pPr>
              <w:pStyle w:val="12"/>
            </w:pPr>
            <w:r>
              <w:t>2026年12月31日前完成</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服务管理机构用房成本</w:t>
            </w:r>
          </w:p>
        </w:tc>
        <w:tc>
          <w:tcPr>
            <w:tcW w:w="5386" w:type="dxa"/>
            <w:vAlign w:val="center"/>
          </w:tcPr>
          <w:p>
            <w:pPr>
              <w:pStyle w:val="12"/>
            </w:pPr>
            <w:r>
              <w:t>反映用于落实年度审定人员的服务管理机构用房和接收安置服务工作所需经费情况</w:t>
            </w:r>
          </w:p>
        </w:tc>
        <w:tc>
          <w:tcPr>
            <w:tcW w:w="2268" w:type="dxa"/>
            <w:vAlign w:val="center"/>
          </w:tcPr>
          <w:p>
            <w:pPr>
              <w:pStyle w:val="12"/>
            </w:pPr>
            <w:r>
              <w:t>≤153万元</w:t>
            </w:r>
          </w:p>
        </w:tc>
        <w:tc>
          <w:tcPr>
            <w:tcW w:w="1276" w:type="dxa"/>
            <w:vAlign w:val="center"/>
          </w:tcPr>
          <w:p>
            <w:pPr>
              <w:pStyle w:val="12"/>
            </w:pPr>
            <w:r>
              <w:t>文件规定执行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军休人员享受的各项服务提升度</w:t>
            </w:r>
          </w:p>
        </w:tc>
        <w:tc>
          <w:tcPr>
            <w:tcW w:w="5386" w:type="dxa"/>
            <w:vAlign w:val="center"/>
          </w:tcPr>
          <w:p>
            <w:pPr>
              <w:pStyle w:val="12"/>
            </w:pPr>
            <w:r>
              <w:t>反映军休机构提供的各项服务提升度</w:t>
            </w:r>
          </w:p>
        </w:tc>
        <w:tc>
          <w:tcPr>
            <w:tcW w:w="2268" w:type="dxa"/>
            <w:vAlign w:val="center"/>
          </w:tcPr>
          <w:p>
            <w:pPr>
              <w:pStyle w:val="12"/>
            </w:pPr>
            <w:r>
              <w:t>≥95%</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5386" w:type="dxa"/>
            <w:vAlign w:val="center"/>
          </w:tcPr>
          <w:p>
            <w:pPr>
              <w:pStyle w:val="12"/>
            </w:pPr>
            <w:r>
              <w:t>军队离退休干部满意度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3、2026年中央财政退役安置补助项目（军休所人员经费）绩效目标表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13080026P00001310003L</w:t>
            </w:r>
          </w:p>
        </w:tc>
        <w:tc>
          <w:tcPr>
            <w:tcW w:w="2835" w:type="dxa"/>
            <w:vAlign w:val="center"/>
          </w:tcPr>
          <w:p>
            <w:pPr>
              <w:pStyle w:val="10"/>
            </w:pPr>
            <w:r>
              <w:t>项目名称</w:t>
            </w:r>
          </w:p>
        </w:tc>
        <w:tc>
          <w:tcPr>
            <w:tcW w:w="6095" w:type="dxa"/>
            <w:gridSpan w:val="3"/>
            <w:vAlign w:val="center"/>
          </w:tcPr>
          <w:p>
            <w:pPr>
              <w:pStyle w:val="12"/>
            </w:pPr>
            <w:r>
              <w:t>2026年中央财政退役安置补助项目（军休所人员经费）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3134.00</w:t>
            </w:r>
          </w:p>
        </w:tc>
        <w:tc>
          <w:tcPr>
            <w:tcW w:w="2835" w:type="dxa"/>
            <w:vAlign w:val="center"/>
          </w:tcPr>
          <w:p>
            <w:pPr>
              <w:pStyle w:val="10"/>
            </w:pPr>
            <w:r>
              <w:t>其中：财政    资金</w:t>
            </w:r>
          </w:p>
        </w:tc>
        <w:tc>
          <w:tcPr>
            <w:tcW w:w="2551" w:type="dxa"/>
            <w:vAlign w:val="center"/>
          </w:tcPr>
          <w:p>
            <w:pPr>
              <w:pStyle w:val="12"/>
            </w:pPr>
            <w:r>
              <w:t>3134.00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将3134万元用于发放200个离退休干部及其家属、遗属工资等，保障军队离退休干部及其家属、遗属生活和医疗待遇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1.2026年12月31日前，将3134万元用于发放200个离退休干部及其家属、遗属工资等，保障军队离退休干部及其家属、遗属生活和医疗待遇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军休干部及其家属、遗属享受待遇人数</w:t>
            </w:r>
          </w:p>
        </w:tc>
        <w:tc>
          <w:tcPr>
            <w:tcW w:w="5386" w:type="dxa"/>
            <w:vAlign w:val="center"/>
          </w:tcPr>
          <w:p>
            <w:pPr>
              <w:pStyle w:val="12"/>
            </w:pPr>
            <w:r>
              <w:t>军休干部及其家属、遗属享受待遇人数</w:t>
            </w:r>
          </w:p>
        </w:tc>
        <w:tc>
          <w:tcPr>
            <w:tcW w:w="2268" w:type="dxa"/>
            <w:vAlign w:val="center"/>
          </w:tcPr>
          <w:p>
            <w:pPr>
              <w:pStyle w:val="12"/>
            </w:pPr>
            <w:r>
              <w:t>≥200人</w:t>
            </w:r>
          </w:p>
        </w:tc>
        <w:tc>
          <w:tcPr>
            <w:tcW w:w="1276" w:type="dxa"/>
            <w:vAlign w:val="center"/>
          </w:tcPr>
          <w:p>
            <w:pPr>
              <w:pStyle w:val="12"/>
            </w:pPr>
            <w:r>
              <w:t>依据政策文件执行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经费使用合格率</w:t>
            </w:r>
          </w:p>
        </w:tc>
        <w:tc>
          <w:tcPr>
            <w:tcW w:w="5386" w:type="dxa"/>
            <w:vAlign w:val="center"/>
          </w:tcPr>
          <w:p>
            <w:pPr>
              <w:pStyle w:val="12"/>
            </w:pPr>
            <w:r>
              <w:t>反映经费使用合规情况</w:t>
            </w:r>
          </w:p>
        </w:tc>
        <w:tc>
          <w:tcPr>
            <w:tcW w:w="2268" w:type="dxa"/>
            <w:vAlign w:val="center"/>
          </w:tcPr>
          <w:p>
            <w:pPr>
              <w:pStyle w:val="12"/>
            </w:pPr>
            <w:r>
              <w:t>100%</w:t>
            </w:r>
          </w:p>
        </w:tc>
        <w:tc>
          <w:tcPr>
            <w:tcW w:w="1276" w:type="dxa"/>
            <w:vAlign w:val="center"/>
          </w:tcPr>
          <w:p>
            <w:pPr>
              <w:pStyle w:val="12"/>
            </w:pPr>
            <w:r>
              <w:t>依据政策文件执行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人员经费发放及时性</w:t>
            </w:r>
          </w:p>
        </w:tc>
        <w:tc>
          <w:tcPr>
            <w:tcW w:w="5386" w:type="dxa"/>
            <w:vAlign w:val="center"/>
          </w:tcPr>
          <w:p>
            <w:pPr>
              <w:pStyle w:val="12"/>
            </w:pPr>
            <w:r>
              <w:t>补助发放及时性</w:t>
            </w:r>
          </w:p>
        </w:tc>
        <w:tc>
          <w:tcPr>
            <w:tcW w:w="2268" w:type="dxa"/>
            <w:vAlign w:val="center"/>
          </w:tcPr>
          <w:p>
            <w:pPr>
              <w:pStyle w:val="12"/>
            </w:pPr>
            <w:r>
              <w:t>2026年12月31日前完成</w:t>
            </w:r>
          </w:p>
        </w:tc>
        <w:tc>
          <w:tcPr>
            <w:tcW w:w="1276" w:type="dxa"/>
            <w:vAlign w:val="center"/>
          </w:tcPr>
          <w:p>
            <w:pPr>
              <w:pStyle w:val="12"/>
            </w:pPr>
            <w:r>
              <w:t>依据政策文件执行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经费发放总额</w:t>
            </w:r>
          </w:p>
        </w:tc>
        <w:tc>
          <w:tcPr>
            <w:tcW w:w="5386" w:type="dxa"/>
            <w:vAlign w:val="center"/>
          </w:tcPr>
          <w:p>
            <w:pPr>
              <w:pStyle w:val="12"/>
            </w:pPr>
            <w:r>
              <w:t>反映军队离退休干部人员经费发放总额</w:t>
            </w:r>
          </w:p>
        </w:tc>
        <w:tc>
          <w:tcPr>
            <w:tcW w:w="2268" w:type="dxa"/>
            <w:vAlign w:val="center"/>
          </w:tcPr>
          <w:p>
            <w:pPr>
              <w:pStyle w:val="12"/>
            </w:pPr>
            <w:r>
              <w:t>≤3134万元</w:t>
            </w:r>
          </w:p>
        </w:tc>
        <w:tc>
          <w:tcPr>
            <w:tcW w:w="1276" w:type="dxa"/>
            <w:vAlign w:val="center"/>
          </w:tcPr>
          <w:p>
            <w:pPr>
              <w:pStyle w:val="12"/>
            </w:pPr>
            <w:r>
              <w:t>依据政策文件执行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人员经费补助发放覆盖率</w:t>
            </w:r>
          </w:p>
        </w:tc>
        <w:tc>
          <w:tcPr>
            <w:tcW w:w="5386" w:type="dxa"/>
            <w:vAlign w:val="center"/>
          </w:tcPr>
          <w:p>
            <w:pPr>
              <w:pStyle w:val="12"/>
            </w:pPr>
            <w:r>
              <w:t>反映经费发放给军休人员及其家属、遗属的覆盖情况</w:t>
            </w:r>
          </w:p>
        </w:tc>
        <w:tc>
          <w:tcPr>
            <w:tcW w:w="2268" w:type="dxa"/>
            <w:vAlign w:val="center"/>
          </w:tcPr>
          <w:p>
            <w:pPr>
              <w:pStyle w:val="12"/>
            </w:pPr>
            <w:r>
              <w:t>100%</w:t>
            </w:r>
          </w:p>
        </w:tc>
        <w:tc>
          <w:tcPr>
            <w:tcW w:w="1276" w:type="dxa"/>
            <w:vAlign w:val="center"/>
          </w:tcPr>
          <w:p>
            <w:pPr>
              <w:pStyle w:val="12"/>
            </w:pPr>
            <w:r>
              <w:t>依据历史经验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军队离退休干部满意度</w:t>
            </w:r>
          </w:p>
        </w:tc>
        <w:tc>
          <w:tcPr>
            <w:tcW w:w="5386" w:type="dxa"/>
            <w:vAlign w:val="center"/>
          </w:tcPr>
          <w:p>
            <w:pPr>
              <w:pStyle w:val="12"/>
            </w:pPr>
            <w:r>
              <w:t>军队离退休干部满意度</w:t>
            </w:r>
          </w:p>
        </w:tc>
        <w:tc>
          <w:tcPr>
            <w:tcW w:w="2268" w:type="dxa"/>
            <w:vAlign w:val="center"/>
          </w:tcPr>
          <w:p>
            <w:pPr>
              <w:pStyle w:val="12"/>
            </w:pPr>
            <w:r>
              <w:t>≥95%</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446008承德市军队离退休干部休养所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w:t>
            </w:r>
          </w:p>
        </w:tc>
        <w:tc>
          <w:tcPr>
            <w:tcW w:w="964" w:type="dxa"/>
            <w:vAlign w:val="center"/>
          </w:tcPr>
          <w:p>
            <w:pPr>
              <w:pStyle w:val="15"/>
            </w:pPr>
            <w:r>
              <w:t>2.78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承德市军队离退休干部休养所小计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w:t>
            </w:r>
          </w:p>
        </w:tc>
        <w:tc>
          <w:tcPr>
            <w:tcW w:w="964" w:type="dxa"/>
            <w:vAlign w:val="center"/>
          </w:tcPr>
          <w:p>
            <w:pPr>
              <w:pStyle w:val="15"/>
            </w:pPr>
            <w:r>
              <w:t>2.78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16.64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20</w:t>
            </w:r>
          </w:p>
        </w:tc>
        <w:tc>
          <w:tcPr>
            <w:tcW w:w="850" w:type="dxa"/>
            <w:vAlign w:val="center"/>
          </w:tcPr>
          <w:p>
            <w:pPr>
              <w:pStyle w:val="11"/>
            </w:pPr>
            <w:r>
              <w:t>0.02</w:t>
            </w:r>
          </w:p>
        </w:tc>
        <w:tc>
          <w:tcPr>
            <w:tcW w:w="964" w:type="dxa"/>
            <w:vAlign w:val="center"/>
          </w:tcPr>
          <w:p>
            <w:pPr>
              <w:pStyle w:val="11"/>
            </w:pPr>
            <w:r>
              <w:t>0.48</w:t>
            </w:r>
          </w:p>
        </w:tc>
        <w:tc>
          <w:tcPr>
            <w:tcW w:w="964" w:type="dxa"/>
            <w:vAlign w:val="center"/>
          </w:tcPr>
          <w:p>
            <w:pPr>
              <w:pStyle w:val="11"/>
            </w:pPr>
            <w:r>
              <w:t>0.48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16.64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1.90</w:t>
            </w:r>
          </w:p>
        </w:tc>
        <w:tc>
          <w:tcPr>
            <w:tcW w:w="964" w:type="dxa"/>
            <w:vAlign w:val="center"/>
          </w:tcPr>
          <w:p>
            <w:pPr>
              <w:pStyle w:val="11"/>
            </w:pPr>
            <w:r>
              <w:t>1.90</w:t>
            </w:r>
          </w:p>
        </w:tc>
        <w:tc>
          <w:tcPr>
            <w:tcW w:w="964" w:type="dxa"/>
            <w:vAlign w:val="center"/>
          </w:tcPr>
          <w:p>
            <w:pPr>
              <w:pStyle w:val="11"/>
            </w:pPr>
            <w:r>
              <w:t>1.90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公用经费一</w:t>
            </w:r>
          </w:p>
        </w:tc>
        <w:tc>
          <w:tcPr>
            <w:tcW w:w="964" w:type="dxa"/>
            <w:vAlign w:val="center"/>
          </w:tcPr>
          <w:p>
            <w:pPr>
              <w:pStyle w:val="11"/>
            </w:pPr>
            <w:r>
              <w:t>16.64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承德市军队离退休干部休养所上年末固定资产金额为</w:t>
      </w:r>
      <w:r>
        <w:rPr>
          <w:rFonts w:hint="eastAsia" w:ascii="Times New Roman" w:hAnsi="Times New Roman" w:eastAsia="方正仿宋_GBK" w:cs="Times New Roman"/>
          <w:b w:val="0"/>
          <w:color w:val="000000"/>
          <w:sz w:val="28"/>
        </w:rPr>
        <w:t>1516.79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446003热河革命烈士纪念馆</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rPr>
                <w:rFonts w:hint="eastAsia"/>
              </w:rPr>
              <w:t>1516.79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rPr>
                <w:rFonts w:hint="eastAsia"/>
              </w:rPr>
              <w:t>31735</w:t>
            </w:r>
          </w:p>
        </w:tc>
        <w:tc>
          <w:tcPr>
            <w:tcW w:w="2835" w:type="dxa"/>
            <w:vAlign w:val="center"/>
          </w:tcPr>
          <w:p>
            <w:pPr>
              <w:pStyle w:val="11"/>
            </w:pPr>
            <w:r>
              <w:rPr>
                <w:rFonts w:hint="eastAsia"/>
              </w:rPr>
              <w:t>1164.34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rPr>
                <w:rFonts w:hint="eastAsia"/>
              </w:rPr>
              <w:t>1037.96</w:t>
            </w:r>
          </w:p>
        </w:tc>
        <w:tc>
          <w:tcPr>
            <w:tcW w:w="2835" w:type="dxa"/>
            <w:vAlign w:val="center"/>
          </w:tcPr>
          <w:p>
            <w:pPr>
              <w:pStyle w:val="11"/>
            </w:pPr>
            <w:r>
              <w:rPr>
                <w:rFonts w:hint="eastAsia"/>
              </w:rPr>
              <w:t>351.57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rPr>
                <w:rFonts w:hint="eastAsia"/>
              </w:rPr>
              <w:t>5</w:t>
            </w:r>
          </w:p>
        </w:tc>
        <w:tc>
          <w:tcPr>
            <w:tcW w:w="2835" w:type="dxa"/>
            <w:vAlign w:val="center"/>
          </w:tcPr>
          <w:p>
            <w:pPr>
              <w:pStyle w:val="11"/>
            </w:pPr>
            <w:r>
              <w:rPr>
                <w:rFonts w:hint="eastAsia"/>
              </w:rPr>
              <w:t>103.59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rPr>
                <w:rFonts w:hint="eastAsia"/>
              </w:rPr>
              <w:t>1</w:t>
            </w:r>
          </w:p>
        </w:tc>
        <w:tc>
          <w:tcPr>
            <w:tcW w:w="2835" w:type="dxa"/>
            <w:vAlign w:val="center"/>
          </w:tcPr>
          <w:p>
            <w:pPr>
              <w:pStyle w:val="11"/>
            </w:pPr>
            <w:r>
              <w:rPr>
                <w:rFonts w:hint="eastAsia"/>
              </w:rPr>
              <w:t>25.44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rPr>
                <w:rFonts w:hint="eastAsia"/>
              </w:rPr>
              <w:t>294</w:t>
            </w:r>
          </w:p>
        </w:tc>
        <w:tc>
          <w:tcPr>
            <w:tcW w:w="2835" w:type="dxa"/>
            <w:vAlign w:val="center"/>
          </w:tcPr>
          <w:p>
            <w:pPr>
              <w:pStyle w:val="11"/>
            </w:pPr>
            <w:r>
              <w:rPr>
                <w:rFonts w:hint="eastAsia"/>
              </w:rPr>
              <w:t>223.42</w:t>
            </w:r>
          </w:p>
        </w:tc>
      </w:tr>
    </w:tbl>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A8EB3"/>
    <w:multiLevelType w:val="singleLevel"/>
    <w:tmpl w:val="D10A8EB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mODdjYWUwOWMxNDQ1MmVlYThhZTZmNDM2MWMyZTkifQ=="/>
  </w:docVars>
  <w:rsids>
    <w:rsidRoot w:val="00000000"/>
    <w:rsid w:val="13B74B42"/>
    <w:rsid w:val="38734CB6"/>
    <w:rsid w:val="5D7B25E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6804</Words>
  <Characters>8606</Characters>
  <TotalTime>5</TotalTime>
  <ScaleCrop>false</ScaleCrop>
  <LinksUpToDate>false</LinksUpToDate>
  <CharactersWithSpaces>8975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2026-03-10T09:30:00Z</dcterms:created>
  <dc:creator>Administrator</dc:creator>
  <cp:lastModifiedBy>一生何求</cp:lastModifiedBy>
  <dcterms:modified xsi:type="dcterms:W3CDTF">2026-03-11T02:16:06Z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8B7842A86E3442009EAA20F8A2C2078E</vt:lpwstr>
  </property>
</Properties>
</file>