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走访代表委员专用卡</w:t>
      </w:r>
    </w:p>
    <w:p>
      <w:pPr>
        <w:rPr>
          <w:rFonts w:ascii="仿宋_GB2312" w:eastAsia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>
        <w:rPr>
          <w:rFonts w:ascii="仿宋_GB2312" w:eastAsia="仿宋_GB2312" w:hint="eastAsia"/>
          <w:sz w:val="32"/>
          <w:szCs w:val="32"/>
          <w:lang w:eastAsia="zh-CN"/>
        </w:rPr>
        <w:t>承德市商务局</w:t>
      </w:r>
      <w:r>
        <w:rPr>
          <w:rFonts w:ascii="仿宋_GB2312" w:eastAsia="仿宋_GB2312" w:hint="eastAsia"/>
          <w:sz w:val="32"/>
          <w:szCs w:val="32"/>
        </w:rPr>
        <w:t xml:space="preserve">       走访时间：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 月  日</w:t>
      </w:r>
    </w:p>
    <w:tbl>
      <w:tblPr>
        <w:tblStyle w:val="TableGrid"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68"/>
        <w:gridCol w:w="416"/>
        <w:gridCol w:w="390"/>
        <w:gridCol w:w="1008"/>
        <w:gridCol w:w="806"/>
        <w:gridCol w:w="182"/>
        <w:gridCol w:w="1430"/>
        <w:gridCol w:w="956"/>
      </w:tblGrid>
      <w:tr>
        <w:tblPrEx>
          <w:tblW w:w="954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代表姓名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管丽娟</w:t>
            </w: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建议编号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en-US" w:eastAsia="zh-CN"/>
              </w:rPr>
              <w:t>192号</w:t>
            </w: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委员姓名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提案编号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建议提案</w:t>
            </w:r>
          </w:p>
          <w:p>
            <w:pPr>
              <w:widowControl w:val="0"/>
              <w:ind w:firstLine="160" w:firstLineChars="5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标题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/>
              </w:rPr>
              <w:t>关于促进楼宇经济发展的建议</w:t>
            </w: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沟通时间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办前：</w:t>
            </w: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办中：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办后：</w:t>
            </w: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走访地点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widowControl w:val="0"/>
              <w:ind w:firstLine="160" w:firstLineChars="5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代表委员</w:t>
            </w:r>
          </w:p>
          <w:p>
            <w:pPr>
              <w:widowControl w:val="0"/>
              <w:ind w:firstLine="640" w:firstLineChars="20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  <w:p>
            <w:pPr>
              <w:widowControl w:val="0"/>
              <w:ind w:firstLine="1120" w:firstLineChars="35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代表委员签字：</w:t>
            </w:r>
          </w:p>
          <w:p>
            <w:pPr>
              <w:widowControl w:val="0"/>
              <w:ind w:firstLine="1120" w:firstLineChars="35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年    月    日</w:t>
            </w: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请在您认为合适的种类上打“√”</w:t>
            </w: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  <w:jc w:val="center"/>
        </w:trPr>
        <w:tc>
          <w:tcPr>
            <w:tcW w:w="2130" w:type="dxa"/>
            <w:vMerge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非常满意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满意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不满意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>
        <w:tblPrEx>
          <w:tblW w:w="95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处理意见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widowControl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tbl>
      <w:tblPr>
        <w:tblStyle w:val="TableNormal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W w:w="9540" w:type="dxa"/>
          <w:tblInd w:w="-25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eastAsia="方正大标宋简体" w:hAnsi="宋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ascii="方正大标宋简体" w:eastAsia="方正大标宋简体" w:hAnsi="宋体" w:cs="宋体" w:hint="eastAsia"/>
                <w:snapToGrid w:val="0"/>
                <w:spacing w:val="-16"/>
                <w:w w:val="75"/>
                <w:kern w:val="0"/>
                <w:sz w:val="80"/>
                <w:szCs w:val="80"/>
              </w:rPr>
              <w:t>承德市商务局承办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eastAsia="方正大标宋简体" w:hAnsi="宋体" w:cs="宋体"/>
                <w:kern w:val="0"/>
                <w:sz w:val="50"/>
                <w:szCs w:val="50"/>
              </w:rPr>
            </w:pPr>
            <w:r>
              <w:rPr>
                <w:rFonts w:ascii="方正大标宋简体" w:eastAsia="方正大标宋简体" w:hAnsi="宋体" w:cs="宋体" w:hint="eastAsia"/>
                <w:snapToGrid w:val="0"/>
                <w:spacing w:val="-16"/>
                <w:w w:val="75"/>
                <w:kern w:val="0"/>
                <w:sz w:val="80"/>
                <w:szCs w:val="80"/>
              </w:rPr>
              <w:t>专用笺</w:t>
            </w:r>
          </w:p>
        </w:tc>
      </w:tr>
      <w:tr>
        <w:tblPrEx>
          <w:tblW w:w="9540" w:type="dxa"/>
          <w:tblInd w:w="-25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/>
        </w:trPr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大标宋简体" w:eastAsia="方正大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大标宋简体" w:eastAsia="方正大标宋简体" w:hAnsi="宋体" w:cs="宋体" w:hint="eastAsia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ascii="方正大标宋简体" w:eastAsia="方正大标宋简体" w:hAnsi="宋体" w:cs="宋体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000000"/>
                          </a:solidFill>
                          <a:headEnd/>
                          <a:tailEnd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5" style="mso-height-relative:page;mso-width-relative:page;position:absolute;z-index:251659264" from="-9pt,7.8pt" to="450pt,7.8pt" coordsize="21600,21600" stroked="t" strokecolor="black">
                <v:stroke joinstyle="round" linestyle="thickThin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  <w:lang w:eastAsia="zh-CN"/>
        </w:rPr>
        <w:t>承市商务建</w:t>
      </w:r>
      <w:r>
        <w:rPr>
          <w:rFonts w:ascii="楷体_GB2312" w:eastAsia="楷体_GB2312" w:hint="eastAsia"/>
          <w:sz w:val="28"/>
          <w:szCs w:val="28"/>
        </w:rPr>
        <w:t>字</w:t>
      </w:r>
      <w:r>
        <w:rPr>
          <w:rFonts w:ascii="楷体_GB2312" w:eastAsia="楷体_GB2312" w:hint="eastAsia"/>
          <w:sz w:val="28"/>
          <w:szCs w:val="28"/>
          <w:lang w:val="en-US" w:eastAsia="zh-CN"/>
        </w:rPr>
        <w:t>[</w:t>
      </w:r>
      <w:r>
        <w:rPr>
          <w:rFonts w:ascii="楷体_GB2312" w:eastAsia="楷体_GB2312" w:hint="eastAsia"/>
          <w:sz w:val="28"/>
          <w:szCs w:val="28"/>
        </w:rPr>
        <w:t>202</w:t>
      </w:r>
      <w:r>
        <w:rPr>
          <w:rFonts w:ascii="楷体_GB2312" w:eastAsia="楷体_GB2312" w:hint="eastAsia"/>
          <w:sz w:val="28"/>
          <w:szCs w:val="28"/>
          <w:lang w:val="en-US" w:eastAsia="zh-CN"/>
        </w:rPr>
        <w:t>2]</w:t>
      </w:r>
      <w:r>
        <w:rPr>
          <w:rFonts w:ascii="楷体_GB2312" w:eastAsia="楷体_GB2312" w:hint="eastAsia"/>
          <w:sz w:val="28"/>
          <w:szCs w:val="28"/>
        </w:rPr>
        <w:t>第</w:t>
      </w:r>
      <w:r>
        <w:rPr>
          <w:rFonts w:ascii="楷体_GB2312" w:eastAsia="楷体_GB2312" w:hint="default"/>
          <w:sz w:val="28"/>
          <w:szCs w:val="28"/>
          <w:lang w:val="en"/>
        </w:rPr>
        <w:t>3</w:t>
      </w:r>
      <w:r>
        <w:rPr>
          <w:rFonts w:ascii="楷体_GB2312" w:eastAsia="楷体_GB2312" w:hint="eastAsia"/>
          <w:sz w:val="28"/>
          <w:szCs w:val="28"/>
        </w:rPr>
        <w:t>号    A类</w:t>
      </w:r>
    </w:p>
    <w:p>
      <w:pPr>
        <w:ind w:firstLine="420" w:firstLineChars="15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是否同意公开（是）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对承德市第</w:t>
      </w:r>
      <w:r>
        <w:rPr>
          <w:rFonts w:ascii="宋体" w:hAnsi="宋体" w:hint="eastAsia"/>
          <w:b/>
          <w:sz w:val="44"/>
          <w:szCs w:val="44"/>
          <w:lang w:eastAsia="zh-CN"/>
        </w:rPr>
        <w:t>十五</w:t>
      </w:r>
      <w:r>
        <w:rPr>
          <w:rFonts w:ascii="宋体" w:hAnsi="宋体" w:hint="eastAsia"/>
          <w:b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第</w:t>
      </w:r>
      <w:r>
        <w:rPr>
          <w:rFonts w:ascii="宋体" w:hAnsi="宋体" w:hint="eastAsia"/>
          <w:b/>
          <w:sz w:val="44"/>
          <w:szCs w:val="44"/>
          <w:lang w:eastAsia="zh-CN"/>
        </w:rPr>
        <w:t>二</w:t>
      </w:r>
      <w:r>
        <w:rPr>
          <w:rFonts w:ascii="宋体" w:hAnsi="宋体" w:hint="eastAsia"/>
          <w:b/>
          <w:sz w:val="44"/>
          <w:szCs w:val="44"/>
        </w:rPr>
        <w:t>次会议第</w:t>
      </w:r>
      <w:r>
        <w:rPr>
          <w:rFonts w:ascii="宋体" w:hAnsi="宋体" w:hint="eastAsia"/>
          <w:b/>
          <w:sz w:val="44"/>
          <w:szCs w:val="44"/>
          <w:lang w:val="en-US" w:eastAsia="zh-CN"/>
        </w:rPr>
        <w:t>2022192</w:t>
      </w:r>
      <w:r>
        <w:rPr>
          <w:rFonts w:ascii="宋体" w:hAnsi="宋体" w:hint="eastAsia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管丽娟</w:t>
      </w:r>
      <w:r>
        <w:rPr>
          <w:rFonts w:ascii="仿宋_GB2312" w:eastAsia="仿宋_GB2312" w:hint="eastAsia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关于促进楼宇经济发展的建议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一、楼宇经济发展现状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（一）基本情况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双桥区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共有正在运营楼宇14座，总面积约36.2万平方米，共有企业260家，年纳税1.1亿元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共有可招商楼宇7座，其中，大石庙镇辖区1座：汇强大厦；桥东街道辖区2座：华峰写字楼、翔禾商业；西大街街道辖区2座：碧峰门民俗文化街、名都广场；潘家沟街道辖区1座：大数据创业园；头牌楼街道辖区1座：电商产业园。可利用招商面积共约16万平方米，拟谋划以租售方式用于办公、电商、科技园区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双滦区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共有2000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以上闲置可利用楼宇共21座，</w:t>
      </w:r>
      <w:r>
        <w:rPr>
          <w:rFonts w:ascii="仿宋_GB2312" w:eastAsia="仿宋_GB2312" w:hAnsi="仿宋_GB2312" w:cs="仿宋_GB2312" w:hint="default"/>
          <w:sz w:val="32"/>
          <w:szCs w:val="32"/>
          <w:lang w:val="en" w:eastAsia="zh-CN"/>
        </w:rPr>
        <w:t>总面积约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40.8万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。其中经开区4.95万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，物流园区15.39万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，文化园区13.31万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，散落分布在西地镇、滦河镇、秀水街道、双塔山镇楼宇7.13万</w:t>
      </w:r>
      <w:r>
        <w:rPr>
          <w:rFonts w:ascii="仿宋_GB2312" w:eastAsia="仿宋_GB2312" w:hAnsi="仿宋_GB2312" w:cs="仿宋_GB2312" w:hint="eastAsia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发展情况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一是楼宇产业布局初具雏形。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  <w:lang w:val="en-US" w:eastAsia="zh-CN"/>
        </w:rPr>
        <w:t>双桥区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en-US" w:eastAsia="zh-CN"/>
        </w:rPr>
        <w:t>形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成了以楼宇工业、软件研发、文化创意、影视动漫、企业总部等高、精、尖服务企业为主要招商方向的楼宇产业布局；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双滦区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形成了以钒钛冶金、新型能源、高端装备制造、工业总部基地为主要招商方向；文化园区楼宇以文化创意、民俗文化展览、教体培训、娱乐休闲、旅游服务、数字产业、商贸综合体、教育培训、现代商贸物流等为主要招商方向的楼宇产业布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color w:val="0000FF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二是特色楼宇（街区）带动产业聚集。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翠桥路、南营子大街、新华路</w:t>
      </w:r>
      <w:r>
        <w:rPr>
          <w:rFonts w:ascii="仿宋_GB2312" w:eastAsia="仿宋_GB2312" w:hAnsi="Arial" w:cs="Arial" w:hint="eastAsia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智能科技产业园、数字科技园、鼎盛元宝街、君泰财富广场已形成各自产业特色，初步形成产业聚集。以双滦区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鼎盛元宝街为例：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建筑面积2.7万</w:t>
      </w:r>
      <w:r>
        <w:rPr>
          <w:rFonts w:ascii="仿宋_GB2312" w:eastAsia="仿宋_GB2312" w:hAnsi="仿宋_GB2312" w:cs="仿宋_GB2312" w:hint="default"/>
          <w:color w:val="auto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，引入高端餐饮、娱乐、休闲书吧等休闲娱乐产业，打造独具特色休闲街区，入住商户34家，入住率70%。</w:t>
      </w:r>
    </w:p>
    <w:p>
      <w:pPr>
        <w:pStyle w:val="Title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三是园区化带动产业链延伸。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晨阳汽配城、昌升商贸城是物流园区较早期楼宇，汽修汽配集聚，名车大道、汽车小镇先后建成，集合4S店30家以上，达限企业13家，营业额达</w:t>
      </w:r>
      <w:r>
        <w:rPr>
          <w:rFonts w:ascii="仿宋_GB2312" w:eastAsia="仿宋_GB2312" w:hAnsi="仿宋_GB2312" w:cs="仿宋_GB2312" w:hint="eastAsia"/>
          <w:b w:val="0"/>
          <w:bCs w:val="0"/>
          <w:color w:val="auto"/>
          <w:sz w:val="32"/>
          <w:szCs w:val="32"/>
          <w:lang w:val="en-US" w:eastAsia="zh-CN"/>
        </w:rPr>
        <w:t>20亿元。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二手车市场、汽车装饰的补充，形成较为完整的汽车汽配产业链条。医药产业园签约面积3万</w:t>
      </w:r>
      <w:r>
        <w:rPr>
          <w:rFonts w:ascii="仿宋_GB2312" w:eastAsia="仿宋_GB2312" w:hAnsi="仿宋_GB2312" w:cs="仿宋_GB2312" w:hint="default"/>
          <w:b w:val="0"/>
          <w:bCs w:val="0"/>
          <w:sz w:val="32"/>
          <w:szCs w:val="32"/>
          <w:lang w:val="en" w:eastAsia="zh-CN"/>
        </w:rPr>
        <w:t>平方米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，入驻商户67家，入驻率100%，2020年税收达到2400万元，医药仓储、流通、健康产业在周边分步补充，医药产业链将随着医药产业园二期建成不断完善。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四是配套政策相继出台。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双桥区已出台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《关于加快楼宇经济发展的实施意见》《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双桥区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支持楼宇经济发展奖励办法（试行）》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承双桥办发</w:t>
      </w:r>
      <w:r>
        <w:rPr>
          <w:rFonts w:ascii="仿宋_GB2312" w:eastAsia="仿宋_GB2312" w:hAnsi="仿宋_GB2312" w:cs="仿宋_GB2312" w:hint="eastAsia"/>
          <w:sz w:val="32"/>
          <w:szCs w:val="32"/>
        </w:rPr>
        <w:t>﹝2017﹞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10号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）。双滦区已出台《双滦区招商引资优惠奖励办法（修订）》（双滦办字</w:t>
      </w:r>
      <w:r>
        <w:rPr>
          <w:rFonts w:ascii="仿宋_GB2312" w:eastAsia="仿宋_GB2312" w:hAnsi="仿宋_GB2312" w:cs="仿宋_GB2312" w:hint="eastAsia"/>
          <w:sz w:val="32"/>
          <w:szCs w:val="32"/>
        </w:rPr>
        <w:t>﹝20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﹞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）。文件对奖励类型、奖励条件、奖励标准作了明确、详细说明，为我市楼宇经济高质量发展提供了政策支持。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textAlignment w:val="auto"/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一是楼宇经济招商方向不够精准。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楼宇经济招商方向已经确定，具体招商行业、企业规模等不够精准。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二是楼宇经济税收优势不明显。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除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翠桥路、南营子大街、新华路</w:t>
      </w:r>
      <w:r>
        <w:rPr>
          <w:rFonts w:ascii="仿宋_GB2312" w:eastAsia="仿宋_GB2312" w:hAnsi="Arial" w:cs="Arial" w:hint="eastAsia"/>
          <w:kern w:val="0"/>
          <w:sz w:val="32"/>
          <w:szCs w:val="32"/>
          <w:lang w:eastAsia="zh-CN"/>
        </w:rPr>
        <w:t>、武烈路、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医药产业园、晨阳汽配城、昌升商贸城等初具税收规模外，其他已招商楼宇税收较低。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三是楼宇招商入驻率不高。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受整体经济形势、疫情影响，我市楼宇闲置较多。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四是楼宇产业层级不高。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智能科技园、数字产业园企业等楼宇入驻企业散、小、利税不高、产业层级偏低。</w:t>
      </w:r>
    </w:p>
    <w:p>
      <w:pPr>
        <w:pStyle w:val="Title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0"/>
        <w:jc w:val="both"/>
        <w:textAlignment w:val="auto"/>
        <w:rPr>
          <w:rFonts w:hint="default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lang w:val="en-US" w:eastAsia="zh-CN"/>
        </w:rPr>
        <w:t>三、下步工作谋划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（一）加强前瞻布局，精准楼宇经济产业细分。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以京津冀协同发展、疏解非首都功能为契机，服务京津，细化楼宇经济招商产业方向。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经济开发区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智能科技园等楼宇着力引进新一代信息技术、高端装备、新能源、新材料、生物科技等产业，持续优化楼宇内企业层级。如发挥钒电池“楼宇＋厂房”的特色，检验检测园标准化检测基地优势形成有利的载体，完善楼宇经济产业布局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文化园区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各楼宇形成相对独立单元，楼宇间产业链条上下衔接、业态互补。数字科技园引进动漫游戏、网络电视、移动多媒体、3D打印、虚拟会展、艺术品网络交易等新型业态，开发文化科技融合衍生产品和服务，推进新媒体和新技术融合发展，实现文化生产力的提档升级。如翡翠国际交流中心、女企业家创业服务中心、人工智能大厦等特色楼宇，推进“文化+”基础平台，推进文化创意与制造业、建筑业、信息业、旅游业、农业和体育产业等领域跨界融合，建设特色化、品牌化楼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国际商贸物流园区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做大做强做优产业体系，即汽修汽配汽贸、医药健康等现代服务业。汽修汽配汽贸引进4S店、配件销售、汽车养护和维护等业态，形成汽修汽配全产业链条；医药产业园积极引进高端原料药、医药制剂、生物医药、医疗器械、现代中药、大健康产业等业态。如龙乡广场、利源置业着力发展现代服务业，引进包括金融、物流、批发、电子商务、中介咨询、教育、医疗保健、文化娱乐、公共管理服务等业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（二）突出标杆带动，推进楼宇经济聚集发展。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各园区以龙头企业为标杆，激活创新链、补强产业链、打通供应链，形成链条生态。以推广物流园区医药产业园、汽车产业园成功范例，鼓励经济开发区、文化园区选准标杆，以龙头企业为核心，开展产业链延伸，形成楼宇经济产业聚集，楼宇间产业链相互连接。如文化园区以鼎盛王朝系列项目为核心，配套文创、餐饮、工业设计等业态形成上下补充；经济开发区以承钢钒钛研究院为核心，加强钒钛产品深加工，深耕钒钛上下游应用领域，实现产业的深度价值创造和战略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（三）严把项目入口，提升楼宇经济产业层级。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一方面，对新洽谈项目严格项目准入机制，严把项目入口关，以“税收、生态、就业”为标准，鼓励支持高附加值、高税收、带动性强的总部经济、高科技企业、可持续发展型企业入驻。另一方面对已入驻楼宇企业提档升级。如智能科技园现有企业“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腾笼换鸟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”，鼓励引进集约型、创新型、附加值高的高新技术企业或企业总部；数字科技园强化“互联网+”与实体经济深度融合，实现文旅相关产业数字化转型升级。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（四）提升承载能力，加大公共配套服务。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一是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优化配套公共服务，打造楼宇经济社区生态圈。以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区域为单元，配套楼宇周边餐饮、交通、娱乐、购物、医疗、教育等生产生活服务。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创新楼宇管理，推进楼宇品牌化运营。楼宇开发商、服务机构及入住代表企业在自愿基础上组成公益性组织楼宇促进会，开展楼宇品牌建设培育、调查研究、区域交流、宣传教育、评价考核、授权发布等活动，提升楼宇运营水平、服务质量和招商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（五）强化政策支持，扶持楼宇经济发展壮大。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一是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利用现有的楼宇经济发展奖励办法对楼宇经济进行扶持，并结合现有产业特质，借鉴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先进地区经验，再细化楼宇经济扶持政策，鼓励打造特色楼宇，楼宇提质升级。比如扶持办法从公共应用场景、公共设备改造提升，信息化改造、楼宇星级评定等方面给予运营方支持，提升楼宇的承载能力和综合竞争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根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据现有产业布局，对楼宇资源和楼宇特色深度包装策划，制定具有县域特色的《楼宇招商服务手册》，紧扣产值、税收、就业等核心指标，提升龙头企业的示范作用，重点强化扶持有潜力的楼宇，引导企业或公司注册本地，切实把税收留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楷体" w:eastAsia="宋体" w:hAnsi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 w:eastAsia="zh-CN"/>
        </w:rPr>
        <w:t>（六）搭建楼宇经济信息服务平台，助力楼宇精准服务。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借鉴先进地区的成功经验和做法，利用大数据搭建全区经济信息服务平台，公开重点楼宇的空置情况，租金水平、运营服务、入驻企业、地理位置、交通配套、经济贡献等多维数据统一在该平台上，实现动态采集、管理、分析、实现楼宇资源和项目资源的精准对接、高效配置，建立“掌上楼宇数据库”，为楼宇经济科学化决策和专业运营提供有力支撑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依托智慧平台，各相关部门、街道可以实时了解楼宇运营和空置情况，为新注册企业做好工商登记、税务登记等政务服务工作，为新迁入企业做好落地转化等相应企业服务，进一步提高辖区内楼宇落地率，提升楼宇精准服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以楼宇党建凝聚合力，以建强楼宇党组织为核心，构建园区党组织－楼宇党组织－企业党支部组织架构，通过设立“党建ｅ站”、开辟“党员责任区”、建立“党员突击队”等载体，服务企业、党员，让红色细胞融入楼宇运营、政企服务、区域共建，实现楼宇党建与区域发展叠加效应。</w:t>
      </w:r>
    </w:p>
    <w:p>
      <w:pPr>
        <w:pStyle w:val="Title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left"/>
        <w:textAlignment w:val="auto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  <w:t>最后，衷心感谢您对我市楼宇经济发展的关心和支持！</w:t>
      </w:r>
    </w:p>
    <w:p>
      <w:pPr>
        <w:pStyle w:val="Title"/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ascii="仿宋_GB2312" w:eastAsia="仿宋_GB2312" w:hAnsi="仿宋_GB2312" w:cs="仿宋_GB2312" w:hint="eastAsia"/>
          <w:b w:val="0"/>
          <w:bCs/>
          <w:sz w:val="32"/>
          <w:szCs w:val="32"/>
          <w:lang w:val="en-US" w:eastAsia="zh-CN"/>
        </w:rPr>
      </w:pPr>
    </w:p>
    <w:p>
      <w:pPr>
        <w:pStyle w:val="Title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p>
      <w:pPr>
        <w:pStyle w:val="Title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领导签发：</w:t>
      </w:r>
      <w:r>
        <w:rPr>
          <w:rFonts w:ascii="仿宋_GB2312" w:eastAsia="仿宋_GB2312" w:hint="eastAsia"/>
          <w:sz w:val="32"/>
          <w:szCs w:val="32"/>
          <w:lang w:eastAsia="zh-CN"/>
        </w:rPr>
        <w:t>刘英昊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联系人及电话：</w:t>
      </w:r>
      <w:r>
        <w:rPr>
          <w:rFonts w:ascii="仿宋_GB2312" w:eastAsia="仿宋_GB2312" w:hint="eastAsia"/>
          <w:sz w:val="32"/>
          <w:szCs w:val="32"/>
          <w:lang w:eastAsia="zh-CN"/>
        </w:rPr>
        <w:t>方桂姣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2159746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抄报：市人大选举任免代表工作委员会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市政府办公室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000000"/>
                          </a:solidFill>
                          <a:headEnd/>
                          <a:tailEnd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width-relative:page;position:absolute;z-index:251661312" from="-9pt,23.4pt" to="450pt,23.4pt" coordsize="21600,21600" stroked="t" strokecolor="black">
                <v:stroke joinstyle="round" linestyle="thinThick"/>
                <o:lock v:ext="edit" aspectratio="f"/>
              </v:line>
            </w:pict>
          </mc:Fallback>
        </mc:AlternateContent>
      </w:r>
    </w:p>
    <w:sectPr>
      <w:pgSz w:w="11906" w:h="16838"/>
      <w:pgMar w:top="2098" w:right="1587" w:bottom="1531" w:left="1587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FFAB087"/>
    <w:multiLevelType w:val="singleLevel"/>
    <w:tmpl w:val="EFFAB08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3C509D"/>
    <w:rsid w:val="85363E2A"/>
    <w:rsid w:val="8F7B9EFA"/>
    <w:rsid w:val="9B77294C"/>
    <w:rsid w:val="AEEE85DF"/>
    <w:rsid w:val="BEFF24EF"/>
    <w:rsid w:val="D7FE2EE5"/>
    <w:rsid w:val="DFBFDE59"/>
    <w:rsid w:val="E9BFFF76"/>
    <w:rsid w:val="EF6F938A"/>
    <w:rsid w:val="F7DD6418"/>
    <w:rsid w:val="FCDF2B12"/>
    <w:rsid w:val="FDFB4B6D"/>
    <w:rsid w:val="00222992"/>
    <w:rsid w:val="00545999"/>
    <w:rsid w:val="01B97C20"/>
    <w:rsid w:val="039A5619"/>
    <w:rsid w:val="03C32897"/>
    <w:rsid w:val="09233764"/>
    <w:rsid w:val="0FDC9085"/>
    <w:rsid w:val="1CAB81A1"/>
    <w:rsid w:val="1F8E310D"/>
    <w:rsid w:val="20D05460"/>
    <w:rsid w:val="215D60F2"/>
    <w:rsid w:val="33F6E237"/>
    <w:rsid w:val="34686030"/>
    <w:rsid w:val="3FBBC95E"/>
    <w:rsid w:val="4E641DE0"/>
    <w:rsid w:val="4FBF5A0F"/>
    <w:rsid w:val="5ADE5833"/>
    <w:rsid w:val="5D3C509D"/>
    <w:rsid w:val="67BD940A"/>
    <w:rsid w:val="67F60D9E"/>
    <w:rsid w:val="70E43C8A"/>
    <w:rsid w:val="739757D7"/>
    <w:rsid w:val="73F59465"/>
    <w:rsid w:val="7650F426"/>
    <w:rsid w:val="77F641DB"/>
    <w:rsid w:val="797FF4EE"/>
    <w:rsid w:val="7AF2ED8C"/>
    <w:rsid w:val="7DCF9D1B"/>
    <w:rsid w:val="7DCFC9A5"/>
    <w:rsid w:val="7EFF167F"/>
    <w:rsid w:val="7F7BBDF7"/>
    <w:rsid w:val="7FFACC1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 w:qFormat="1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itle"/>
    <w:qFormat/>
    <w:pPr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Arial" w:hAnsi="Arial"/>
      <w:b/>
      <w:sz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6">
    <w:name w:val="toc 6"/>
    <w:basedOn w:val="Normal"/>
    <w:next w:val="Normal"/>
    <w:qFormat/>
    <w:pPr>
      <w:ind w:left="210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刘婵婵</dc:creator>
  <cp:lastModifiedBy>user</cp:lastModifiedBy>
  <cp:revision>2</cp:revision>
  <cp:lastPrinted>2022-07-13T10:50:28Z</cp:lastPrinted>
  <dcterms:created xsi:type="dcterms:W3CDTF">2020-07-25T17:24:00Z</dcterms:created>
  <dcterms:modified xsi:type="dcterms:W3CDTF">2022-07-13T10:51:01Z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ED5E18E2155D473683E5851BC84EBEBC</vt:lpwstr>
  </property>
  <property fmtid="{D5CDD505-2E9C-101B-9397-08002B2CF9AE}" pid="3" name="KSOProductBuildVer">
    <vt:lpwstr>2052-11.8.2.10290</vt:lpwstr>
  </property>
</Properties>
</file>