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bookmarkStart w:id="20" w:name="_GoBack"/>
      <w:bookmarkEnd w:id="20"/>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92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474承德市城市管理综合行政执法局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4445.74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817.35</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472.89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127.89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15929.98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209.51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5263.09</w:t>
            </w:r>
          </w:p>
        </w:tc>
        <w:tc>
          <w:tcPr>
            <w:tcW w:w="4535" w:type="dxa"/>
            <w:vAlign w:val="center"/>
          </w:tcPr>
          <w:p>
            <w:pPr>
              <w:pStyle w:val="15"/>
            </w:pPr>
            <w:r>
              <w:t>本年支出合计</w:t>
            </w:r>
          </w:p>
        </w:tc>
        <w:tc>
          <w:tcPr>
            <w:tcW w:w="2126" w:type="dxa"/>
            <w:vAlign w:val="center"/>
          </w:tcPr>
          <w:p>
            <w:pPr>
              <w:pStyle w:val="16"/>
            </w:pPr>
            <w:r>
              <w:t>18690.27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13427.18</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18690.27</w:t>
            </w:r>
          </w:p>
        </w:tc>
        <w:tc>
          <w:tcPr>
            <w:tcW w:w="4535" w:type="dxa"/>
            <w:vAlign w:val="center"/>
          </w:tcPr>
          <w:p>
            <w:pPr>
              <w:pStyle w:val="15"/>
            </w:pPr>
            <w:r>
              <w:t>支出总计</w:t>
            </w:r>
          </w:p>
        </w:tc>
        <w:tc>
          <w:tcPr>
            <w:tcW w:w="2126" w:type="dxa"/>
            <w:vAlign w:val="center"/>
          </w:tcPr>
          <w:p>
            <w:pPr>
              <w:pStyle w:val="16"/>
            </w:pPr>
            <w:r>
              <w:t>18690.27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474承德市城市管理综合行政执法局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18690.27</w:t>
            </w:r>
          </w:p>
        </w:tc>
        <w:tc>
          <w:tcPr>
            <w:tcW w:w="1134" w:type="dxa"/>
            <w:vAlign w:val="center"/>
          </w:tcPr>
          <w:p>
            <w:pPr>
              <w:pStyle w:val="16"/>
            </w:pPr>
            <w:r>
              <w:t>5263.09</w:t>
            </w:r>
          </w:p>
        </w:tc>
        <w:tc>
          <w:tcPr>
            <w:tcW w:w="1134" w:type="dxa"/>
            <w:vAlign w:val="center"/>
          </w:tcPr>
          <w:p>
            <w:pPr>
              <w:pStyle w:val="16"/>
            </w:pPr>
            <w:r>
              <w:t>5263.09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13427.18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472.89</w:t>
            </w:r>
          </w:p>
        </w:tc>
        <w:tc>
          <w:tcPr>
            <w:tcW w:w="1134" w:type="dxa"/>
            <w:vAlign w:val="center"/>
          </w:tcPr>
          <w:p>
            <w:pPr>
              <w:pStyle w:val="12"/>
            </w:pPr>
            <w:r>
              <w:t>472.89</w:t>
            </w:r>
          </w:p>
        </w:tc>
        <w:tc>
          <w:tcPr>
            <w:tcW w:w="1134" w:type="dxa"/>
            <w:vAlign w:val="center"/>
          </w:tcPr>
          <w:p>
            <w:pPr>
              <w:pStyle w:val="12"/>
            </w:pPr>
            <w:r>
              <w:t>472.89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462.57</w:t>
            </w:r>
          </w:p>
        </w:tc>
        <w:tc>
          <w:tcPr>
            <w:tcW w:w="1134" w:type="dxa"/>
            <w:vAlign w:val="center"/>
          </w:tcPr>
          <w:p>
            <w:pPr>
              <w:pStyle w:val="12"/>
            </w:pPr>
            <w:r>
              <w:t>462.57</w:t>
            </w:r>
          </w:p>
        </w:tc>
        <w:tc>
          <w:tcPr>
            <w:tcW w:w="1134" w:type="dxa"/>
            <w:vAlign w:val="center"/>
          </w:tcPr>
          <w:p>
            <w:pPr>
              <w:pStyle w:val="12"/>
            </w:pPr>
            <w:r>
              <w:t>462.57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37.92</w:t>
            </w:r>
          </w:p>
        </w:tc>
        <w:tc>
          <w:tcPr>
            <w:tcW w:w="1134" w:type="dxa"/>
            <w:vAlign w:val="center"/>
          </w:tcPr>
          <w:p>
            <w:pPr>
              <w:pStyle w:val="12"/>
            </w:pPr>
            <w:r>
              <w:t>37.92</w:t>
            </w:r>
          </w:p>
        </w:tc>
        <w:tc>
          <w:tcPr>
            <w:tcW w:w="1134" w:type="dxa"/>
            <w:vAlign w:val="center"/>
          </w:tcPr>
          <w:p>
            <w:pPr>
              <w:pStyle w:val="12"/>
            </w:pPr>
            <w:r>
              <w:t>37.92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150.25</w:t>
            </w:r>
          </w:p>
        </w:tc>
        <w:tc>
          <w:tcPr>
            <w:tcW w:w="1134" w:type="dxa"/>
            <w:vAlign w:val="center"/>
          </w:tcPr>
          <w:p>
            <w:pPr>
              <w:pStyle w:val="12"/>
            </w:pPr>
            <w:r>
              <w:t>150.25</w:t>
            </w:r>
          </w:p>
        </w:tc>
        <w:tc>
          <w:tcPr>
            <w:tcW w:w="1134" w:type="dxa"/>
            <w:vAlign w:val="center"/>
          </w:tcPr>
          <w:p>
            <w:pPr>
              <w:pStyle w:val="12"/>
            </w:pPr>
            <w:r>
              <w:t>150.25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261.16</w:t>
            </w:r>
          </w:p>
        </w:tc>
        <w:tc>
          <w:tcPr>
            <w:tcW w:w="1134" w:type="dxa"/>
            <w:vAlign w:val="center"/>
          </w:tcPr>
          <w:p>
            <w:pPr>
              <w:pStyle w:val="12"/>
            </w:pPr>
            <w:r>
              <w:t>261.16</w:t>
            </w:r>
          </w:p>
        </w:tc>
        <w:tc>
          <w:tcPr>
            <w:tcW w:w="1134" w:type="dxa"/>
            <w:vAlign w:val="center"/>
          </w:tcPr>
          <w:p>
            <w:pPr>
              <w:pStyle w:val="12"/>
            </w:pPr>
            <w:r>
              <w:t>261.16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13.24</w:t>
            </w:r>
          </w:p>
        </w:tc>
        <w:tc>
          <w:tcPr>
            <w:tcW w:w="1134" w:type="dxa"/>
            <w:vAlign w:val="center"/>
          </w:tcPr>
          <w:p>
            <w:pPr>
              <w:pStyle w:val="12"/>
            </w:pPr>
            <w:r>
              <w:t>13.24</w:t>
            </w:r>
          </w:p>
        </w:tc>
        <w:tc>
          <w:tcPr>
            <w:tcW w:w="1134" w:type="dxa"/>
            <w:vAlign w:val="center"/>
          </w:tcPr>
          <w:p>
            <w:pPr>
              <w:pStyle w:val="12"/>
            </w:pPr>
            <w:r>
              <w:t>13.24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10.32</w:t>
            </w:r>
          </w:p>
        </w:tc>
        <w:tc>
          <w:tcPr>
            <w:tcW w:w="1134" w:type="dxa"/>
            <w:vAlign w:val="center"/>
          </w:tcPr>
          <w:p>
            <w:pPr>
              <w:pStyle w:val="12"/>
            </w:pPr>
            <w:r>
              <w:t>10.32</w:t>
            </w:r>
          </w:p>
        </w:tc>
        <w:tc>
          <w:tcPr>
            <w:tcW w:w="1134" w:type="dxa"/>
            <w:vAlign w:val="center"/>
          </w:tcPr>
          <w:p>
            <w:pPr>
              <w:pStyle w:val="12"/>
            </w:pPr>
            <w:r>
              <w:t>10.32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1.08</w:t>
            </w:r>
          </w:p>
        </w:tc>
        <w:tc>
          <w:tcPr>
            <w:tcW w:w="1134" w:type="dxa"/>
            <w:vAlign w:val="center"/>
          </w:tcPr>
          <w:p>
            <w:pPr>
              <w:pStyle w:val="12"/>
            </w:pPr>
            <w:r>
              <w:t>1.08</w:t>
            </w:r>
          </w:p>
        </w:tc>
        <w:tc>
          <w:tcPr>
            <w:tcW w:w="1134" w:type="dxa"/>
            <w:vAlign w:val="center"/>
          </w:tcPr>
          <w:p>
            <w:pPr>
              <w:pStyle w:val="12"/>
            </w:pPr>
            <w:r>
              <w:t>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2080802</w:t>
            </w:r>
          </w:p>
        </w:tc>
        <w:tc>
          <w:tcPr>
            <w:tcW w:w="1559" w:type="dxa"/>
            <w:vAlign w:val="center"/>
          </w:tcPr>
          <w:p>
            <w:pPr>
              <w:pStyle w:val="13"/>
            </w:pPr>
            <w:r>
              <w:t>伤残抚恤</w:t>
            </w:r>
          </w:p>
        </w:tc>
        <w:tc>
          <w:tcPr>
            <w:tcW w:w="1134" w:type="dxa"/>
            <w:vAlign w:val="center"/>
          </w:tcPr>
          <w:p>
            <w:pPr>
              <w:pStyle w:val="12"/>
            </w:pPr>
            <w:r>
              <w:t>9.24</w:t>
            </w:r>
          </w:p>
        </w:tc>
        <w:tc>
          <w:tcPr>
            <w:tcW w:w="1134" w:type="dxa"/>
            <w:vAlign w:val="center"/>
          </w:tcPr>
          <w:p>
            <w:pPr>
              <w:pStyle w:val="12"/>
            </w:pPr>
            <w:r>
              <w:t>9.24</w:t>
            </w:r>
          </w:p>
        </w:tc>
        <w:tc>
          <w:tcPr>
            <w:tcW w:w="1134" w:type="dxa"/>
            <w:vAlign w:val="center"/>
          </w:tcPr>
          <w:p>
            <w:pPr>
              <w:pStyle w:val="12"/>
            </w:pPr>
            <w:r>
              <w:t>9.24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127.89</w:t>
            </w:r>
          </w:p>
        </w:tc>
        <w:tc>
          <w:tcPr>
            <w:tcW w:w="1134" w:type="dxa"/>
            <w:vAlign w:val="center"/>
          </w:tcPr>
          <w:p>
            <w:pPr>
              <w:pStyle w:val="12"/>
            </w:pPr>
            <w:r>
              <w:t>127.89</w:t>
            </w:r>
          </w:p>
        </w:tc>
        <w:tc>
          <w:tcPr>
            <w:tcW w:w="1134" w:type="dxa"/>
            <w:vAlign w:val="center"/>
          </w:tcPr>
          <w:p>
            <w:pPr>
              <w:pStyle w:val="12"/>
            </w:pPr>
            <w:r>
              <w:t>127.89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127.89</w:t>
            </w:r>
          </w:p>
        </w:tc>
        <w:tc>
          <w:tcPr>
            <w:tcW w:w="1134" w:type="dxa"/>
            <w:vAlign w:val="center"/>
          </w:tcPr>
          <w:p>
            <w:pPr>
              <w:pStyle w:val="12"/>
            </w:pPr>
            <w:r>
              <w:t>127.89</w:t>
            </w:r>
          </w:p>
        </w:tc>
        <w:tc>
          <w:tcPr>
            <w:tcW w:w="1134" w:type="dxa"/>
            <w:vAlign w:val="center"/>
          </w:tcPr>
          <w:p>
            <w:pPr>
              <w:pStyle w:val="12"/>
            </w:pPr>
            <w:r>
              <w:t>127.89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18.50</w:t>
            </w:r>
          </w:p>
        </w:tc>
        <w:tc>
          <w:tcPr>
            <w:tcW w:w="1134" w:type="dxa"/>
            <w:vAlign w:val="center"/>
          </w:tcPr>
          <w:p>
            <w:pPr>
              <w:pStyle w:val="12"/>
            </w:pPr>
            <w:r>
              <w:t>18.50</w:t>
            </w:r>
          </w:p>
        </w:tc>
        <w:tc>
          <w:tcPr>
            <w:tcW w:w="1134" w:type="dxa"/>
            <w:vAlign w:val="center"/>
          </w:tcPr>
          <w:p>
            <w:pPr>
              <w:pStyle w:val="12"/>
            </w:pPr>
            <w:r>
              <w:t>18.50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96.71</w:t>
            </w:r>
          </w:p>
        </w:tc>
        <w:tc>
          <w:tcPr>
            <w:tcW w:w="1134" w:type="dxa"/>
            <w:vAlign w:val="center"/>
          </w:tcPr>
          <w:p>
            <w:pPr>
              <w:pStyle w:val="12"/>
            </w:pPr>
            <w:r>
              <w:t>96.71</w:t>
            </w:r>
          </w:p>
        </w:tc>
        <w:tc>
          <w:tcPr>
            <w:tcW w:w="1134" w:type="dxa"/>
            <w:vAlign w:val="center"/>
          </w:tcPr>
          <w:p>
            <w:pPr>
              <w:pStyle w:val="12"/>
            </w:pPr>
            <w:r>
              <w:t>96.71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12.68</w:t>
            </w:r>
          </w:p>
        </w:tc>
        <w:tc>
          <w:tcPr>
            <w:tcW w:w="1134" w:type="dxa"/>
            <w:vAlign w:val="center"/>
          </w:tcPr>
          <w:p>
            <w:pPr>
              <w:pStyle w:val="12"/>
            </w:pPr>
            <w:r>
              <w:t>12.68</w:t>
            </w:r>
          </w:p>
        </w:tc>
        <w:tc>
          <w:tcPr>
            <w:tcW w:w="1134" w:type="dxa"/>
            <w:vAlign w:val="center"/>
          </w:tcPr>
          <w:p>
            <w:pPr>
              <w:pStyle w:val="12"/>
            </w:pPr>
            <w:r>
              <w:t>12.68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1950.00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21198</w:t>
            </w:r>
          </w:p>
        </w:tc>
        <w:tc>
          <w:tcPr>
            <w:tcW w:w="1559" w:type="dxa"/>
            <w:vAlign w:val="center"/>
          </w:tcPr>
          <w:p>
            <w:pPr>
              <w:pStyle w:val="13"/>
            </w:pPr>
            <w:r>
              <w:t>超长期特别国债安排的支出</w:t>
            </w:r>
          </w:p>
        </w:tc>
        <w:tc>
          <w:tcPr>
            <w:tcW w:w="1134" w:type="dxa"/>
            <w:vAlign w:val="center"/>
          </w:tcPr>
          <w:p>
            <w:pPr>
              <w:pStyle w:val="12"/>
            </w:pPr>
            <w:r>
              <w:t>1950.00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2119802</w:t>
            </w:r>
          </w:p>
        </w:tc>
        <w:tc>
          <w:tcPr>
            <w:tcW w:w="1559" w:type="dxa"/>
            <w:vAlign w:val="center"/>
          </w:tcPr>
          <w:p>
            <w:pPr>
              <w:pStyle w:val="13"/>
            </w:pPr>
            <w:r>
              <w:t>应对气候变化</w:t>
            </w:r>
          </w:p>
        </w:tc>
        <w:tc>
          <w:tcPr>
            <w:tcW w:w="1134" w:type="dxa"/>
            <w:vAlign w:val="center"/>
          </w:tcPr>
          <w:p>
            <w:pPr>
              <w:pStyle w:val="12"/>
            </w:pPr>
            <w:r>
              <w:t>1950.00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15929.98</w:t>
            </w:r>
          </w:p>
        </w:tc>
        <w:tc>
          <w:tcPr>
            <w:tcW w:w="1134" w:type="dxa"/>
            <w:vAlign w:val="center"/>
          </w:tcPr>
          <w:p>
            <w:pPr>
              <w:pStyle w:val="12"/>
            </w:pPr>
            <w:r>
              <w:t>4452.80</w:t>
            </w:r>
          </w:p>
        </w:tc>
        <w:tc>
          <w:tcPr>
            <w:tcW w:w="1134" w:type="dxa"/>
            <w:vAlign w:val="center"/>
          </w:tcPr>
          <w:p>
            <w:pPr>
              <w:pStyle w:val="12"/>
            </w:pPr>
            <w:r>
              <w:t>4452.80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11477.18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11076.50</w:t>
            </w:r>
          </w:p>
        </w:tc>
        <w:tc>
          <w:tcPr>
            <w:tcW w:w="1134" w:type="dxa"/>
            <w:vAlign w:val="center"/>
          </w:tcPr>
          <w:p>
            <w:pPr>
              <w:pStyle w:val="12"/>
            </w:pPr>
            <w:r>
              <w:t>3455.45</w:t>
            </w:r>
          </w:p>
        </w:tc>
        <w:tc>
          <w:tcPr>
            <w:tcW w:w="1134" w:type="dxa"/>
            <w:vAlign w:val="center"/>
          </w:tcPr>
          <w:p>
            <w:pPr>
              <w:pStyle w:val="12"/>
            </w:pPr>
            <w:r>
              <w:t>3455.45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7621.05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2120101</w:t>
            </w:r>
          </w:p>
        </w:tc>
        <w:tc>
          <w:tcPr>
            <w:tcW w:w="1559" w:type="dxa"/>
            <w:vAlign w:val="center"/>
          </w:tcPr>
          <w:p>
            <w:pPr>
              <w:pStyle w:val="13"/>
            </w:pPr>
            <w:r>
              <w:t>行政运行</w:t>
            </w:r>
          </w:p>
        </w:tc>
        <w:tc>
          <w:tcPr>
            <w:tcW w:w="1134" w:type="dxa"/>
            <w:vAlign w:val="center"/>
          </w:tcPr>
          <w:p>
            <w:pPr>
              <w:pStyle w:val="12"/>
            </w:pPr>
            <w:r>
              <w:t>2166.09</w:t>
            </w:r>
          </w:p>
        </w:tc>
        <w:tc>
          <w:tcPr>
            <w:tcW w:w="1134" w:type="dxa"/>
            <w:vAlign w:val="center"/>
          </w:tcPr>
          <w:p>
            <w:pPr>
              <w:pStyle w:val="12"/>
            </w:pPr>
            <w:r>
              <w:t>2166.09</w:t>
            </w:r>
          </w:p>
        </w:tc>
        <w:tc>
          <w:tcPr>
            <w:tcW w:w="1134" w:type="dxa"/>
            <w:vAlign w:val="center"/>
          </w:tcPr>
          <w:p>
            <w:pPr>
              <w:pStyle w:val="12"/>
            </w:pPr>
            <w:r>
              <w:t>2166.09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2120104</w:t>
            </w:r>
          </w:p>
        </w:tc>
        <w:tc>
          <w:tcPr>
            <w:tcW w:w="1559" w:type="dxa"/>
            <w:vAlign w:val="center"/>
          </w:tcPr>
          <w:p>
            <w:pPr>
              <w:pStyle w:val="13"/>
            </w:pPr>
            <w:r>
              <w:t>城管执法</w:t>
            </w:r>
          </w:p>
        </w:tc>
        <w:tc>
          <w:tcPr>
            <w:tcW w:w="1134" w:type="dxa"/>
            <w:vAlign w:val="center"/>
          </w:tcPr>
          <w:p>
            <w:pPr>
              <w:pStyle w:val="12"/>
            </w:pPr>
            <w:r>
              <w:t>8910.41</w:t>
            </w:r>
          </w:p>
        </w:tc>
        <w:tc>
          <w:tcPr>
            <w:tcW w:w="1134" w:type="dxa"/>
            <w:vAlign w:val="center"/>
          </w:tcPr>
          <w:p>
            <w:pPr>
              <w:pStyle w:val="12"/>
            </w:pPr>
            <w:r>
              <w:t>1289.36</w:t>
            </w:r>
          </w:p>
        </w:tc>
        <w:tc>
          <w:tcPr>
            <w:tcW w:w="1134" w:type="dxa"/>
            <w:vAlign w:val="center"/>
          </w:tcPr>
          <w:p>
            <w:pPr>
              <w:pStyle w:val="12"/>
            </w:pPr>
            <w:r>
              <w:t>1289.36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7621.05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3731.72</w:t>
            </w:r>
          </w:p>
        </w:tc>
        <w:tc>
          <w:tcPr>
            <w:tcW w:w="1134" w:type="dxa"/>
            <w:vAlign w:val="center"/>
          </w:tcPr>
          <w:p>
            <w:pPr>
              <w:pStyle w:val="12"/>
            </w:pPr>
            <w:r>
              <w:t>180.00</w:t>
            </w:r>
          </w:p>
        </w:tc>
        <w:tc>
          <w:tcPr>
            <w:tcW w:w="1134" w:type="dxa"/>
            <w:vAlign w:val="center"/>
          </w:tcPr>
          <w:p>
            <w:pPr>
              <w:pStyle w:val="12"/>
            </w:pPr>
            <w:r>
              <w:t>180.00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3551.72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2120303</w:t>
            </w:r>
          </w:p>
        </w:tc>
        <w:tc>
          <w:tcPr>
            <w:tcW w:w="1559" w:type="dxa"/>
            <w:vAlign w:val="center"/>
          </w:tcPr>
          <w:p>
            <w:pPr>
              <w:pStyle w:val="13"/>
            </w:pPr>
            <w:r>
              <w:t>小城镇基础设施建设</w:t>
            </w:r>
          </w:p>
        </w:tc>
        <w:tc>
          <w:tcPr>
            <w:tcW w:w="1134" w:type="dxa"/>
            <w:vAlign w:val="center"/>
          </w:tcPr>
          <w:p>
            <w:pPr>
              <w:pStyle w:val="12"/>
            </w:pPr>
            <w:r>
              <w:t>2400.00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2120399</w:t>
            </w:r>
          </w:p>
        </w:tc>
        <w:tc>
          <w:tcPr>
            <w:tcW w:w="1559" w:type="dxa"/>
            <w:vAlign w:val="center"/>
          </w:tcPr>
          <w:p>
            <w:pPr>
              <w:pStyle w:val="13"/>
            </w:pPr>
            <w:r>
              <w:t>其他城乡社区公共设施支出</w:t>
            </w:r>
          </w:p>
        </w:tc>
        <w:tc>
          <w:tcPr>
            <w:tcW w:w="1134" w:type="dxa"/>
            <w:vAlign w:val="center"/>
          </w:tcPr>
          <w:p>
            <w:pPr>
              <w:pStyle w:val="12"/>
            </w:pPr>
            <w:r>
              <w:t>1331.72</w:t>
            </w:r>
          </w:p>
        </w:tc>
        <w:tc>
          <w:tcPr>
            <w:tcW w:w="1134" w:type="dxa"/>
            <w:vAlign w:val="center"/>
          </w:tcPr>
          <w:p>
            <w:pPr>
              <w:pStyle w:val="12"/>
            </w:pPr>
            <w:r>
              <w:t>180.00</w:t>
            </w:r>
          </w:p>
        </w:tc>
        <w:tc>
          <w:tcPr>
            <w:tcW w:w="1134" w:type="dxa"/>
            <w:vAlign w:val="center"/>
          </w:tcPr>
          <w:p>
            <w:pPr>
              <w:pStyle w:val="12"/>
            </w:pPr>
            <w:r>
              <w:t>180.00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1151.72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21213</w:t>
            </w:r>
          </w:p>
        </w:tc>
        <w:tc>
          <w:tcPr>
            <w:tcW w:w="1559" w:type="dxa"/>
            <w:vAlign w:val="center"/>
          </w:tcPr>
          <w:p>
            <w:pPr>
              <w:pStyle w:val="13"/>
            </w:pPr>
            <w:r>
              <w:t>城市基础设施配套费安排的支出</w:t>
            </w:r>
          </w:p>
        </w:tc>
        <w:tc>
          <w:tcPr>
            <w:tcW w:w="1134" w:type="dxa"/>
            <w:vAlign w:val="center"/>
          </w:tcPr>
          <w:p>
            <w:pPr>
              <w:pStyle w:val="12"/>
            </w:pPr>
            <w:r>
              <w:t>1121.75</w:t>
            </w:r>
          </w:p>
        </w:tc>
        <w:tc>
          <w:tcPr>
            <w:tcW w:w="1134" w:type="dxa"/>
            <w:vAlign w:val="center"/>
          </w:tcPr>
          <w:p>
            <w:pPr>
              <w:pStyle w:val="12"/>
            </w:pPr>
            <w:r>
              <w:t>817.35</w:t>
            </w:r>
          </w:p>
        </w:tc>
        <w:tc>
          <w:tcPr>
            <w:tcW w:w="1134" w:type="dxa"/>
            <w:vAlign w:val="center"/>
          </w:tcPr>
          <w:p>
            <w:pPr>
              <w:pStyle w:val="12"/>
            </w:pPr>
            <w:r>
              <w:t>817.35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2121301</w:t>
            </w:r>
          </w:p>
        </w:tc>
        <w:tc>
          <w:tcPr>
            <w:tcW w:w="1559" w:type="dxa"/>
            <w:vAlign w:val="center"/>
          </w:tcPr>
          <w:p>
            <w:pPr>
              <w:pStyle w:val="13"/>
            </w:pPr>
            <w:r>
              <w:t>城市公共设施</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2121302</w:t>
            </w:r>
          </w:p>
        </w:tc>
        <w:tc>
          <w:tcPr>
            <w:tcW w:w="1559" w:type="dxa"/>
            <w:vAlign w:val="center"/>
          </w:tcPr>
          <w:p>
            <w:pPr>
              <w:pStyle w:val="13"/>
            </w:pPr>
            <w:r>
              <w:t>城市环境卫生</w:t>
            </w:r>
          </w:p>
        </w:tc>
        <w:tc>
          <w:tcPr>
            <w:tcW w:w="1134" w:type="dxa"/>
            <w:vAlign w:val="center"/>
          </w:tcPr>
          <w:p>
            <w:pPr>
              <w:pStyle w:val="12"/>
            </w:pPr>
            <w:r>
              <w:t>1096.75</w:t>
            </w:r>
          </w:p>
        </w:tc>
        <w:tc>
          <w:tcPr>
            <w:tcW w:w="1134" w:type="dxa"/>
            <w:vAlign w:val="center"/>
          </w:tcPr>
          <w:p>
            <w:pPr>
              <w:pStyle w:val="12"/>
            </w:pPr>
            <w:r>
              <w:t>792.35</w:t>
            </w:r>
          </w:p>
        </w:tc>
        <w:tc>
          <w:tcPr>
            <w:tcW w:w="1134" w:type="dxa"/>
            <w:vAlign w:val="center"/>
          </w:tcPr>
          <w:p>
            <w:pPr>
              <w:pStyle w:val="12"/>
            </w:pPr>
            <w:r>
              <w:t>792.35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209.51</w:t>
            </w:r>
          </w:p>
        </w:tc>
        <w:tc>
          <w:tcPr>
            <w:tcW w:w="1134" w:type="dxa"/>
            <w:vAlign w:val="center"/>
          </w:tcPr>
          <w:p>
            <w:pPr>
              <w:pStyle w:val="12"/>
            </w:pPr>
            <w:r>
              <w:t>209.51</w:t>
            </w:r>
          </w:p>
        </w:tc>
        <w:tc>
          <w:tcPr>
            <w:tcW w:w="1134" w:type="dxa"/>
            <w:vAlign w:val="center"/>
          </w:tcPr>
          <w:p>
            <w:pPr>
              <w:pStyle w:val="12"/>
            </w:pPr>
            <w:r>
              <w:t>209.51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209.51</w:t>
            </w:r>
          </w:p>
        </w:tc>
        <w:tc>
          <w:tcPr>
            <w:tcW w:w="1134" w:type="dxa"/>
            <w:vAlign w:val="center"/>
          </w:tcPr>
          <w:p>
            <w:pPr>
              <w:pStyle w:val="12"/>
            </w:pPr>
            <w:r>
              <w:t>209.51</w:t>
            </w:r>
          </w:p>
        </w:tc>
        <w:tc>
          <w:tcPr>
            <w:tcW w:w="1134" w:type="dxa"/>
            <w:vAlign w:val="center"/>
          </w:tcPr>
          <w:p>
            <w:pPr>
              <w:pStyle w:val="12"/>
            </w:pPr>
            <w:r>
              <w:t>209.51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209.51</w:t>
            </w:r>
          </w:p>
        </w:tc>
        <w:tc>
          <w:tcPr>
            <w:tcW w:w="1134" w:type="dxa"/>
            <w:vAlign w:val="center"/>
          </w:tcPr>
          <w:p>
            <w:pPr>
              <w:pStyle w:val="12"/>
            </w:pPr>
            <w:r>
              <w:t>209.51</w:t>
            </w:r>
          </w:p>
        </w:tc>
        <w:tc>
          <w:tcPr>
            <w:tcW w:w="1134" w:type="dxa"/>
            <w:vAlign w:val="center"/>
          </w:tcPr>
          <w:p>
            <w:pPr>
              <w:pStyle w:val="12"/>
            </w:pPr>
            <w:r>
              <w:t>209.51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474承德市城市管理综合行政执法局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18690.27</w:t>
            </w:r>
          </w:p>
        </w:tc>
        <w:tc>
          <w:tcPr>
            <w:tcW w:w="1361" w:type="dxa"/>
            <w:vAlign w:val="center"/>
          </w:tcPr>
          <w:p>
            <w:pPr>
              <w:pStyle w:val="16"/>
            </w:pPr>
            <w:r>
              <w:t>2961.38</w:t>
            </w:r>
          </w:p>
        </w:tc>
        <w:tc>
          <w:tcPr>
            <w:tcW w:w="1361" w:type="dxa"/>
            <w:vAlign w:val="center"/>
          </w:tcPr>
          <w:p>
            <w:pPr>
              <w:pStyle w:val="16"/>
            </w:pPr>
            <w:r>
              <w:t>15728.89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472.89</w:t>
            </w:r>
          </w:p>
        </w:tc>
        <w:tc>
          <w:tcPr>
            <w:tcW w:w="1361" w:type="dxa"/>
            <w:vAlign w:val="center"/>
          </w:tcPr>
          <w:p>
            <w:pPr>
              <w:pStyle w:val="12"/>
            </w:pPr>
            <w:r>
              <w:t>472.89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462.57</w:t>
            </w:r>
          </w:p>
        </w:tc>
        <w:tc>
          <w:tcPr>
            <w:tcW w:w="1361" w:type="dxa"/>
            <w:vAlign w:val="center"/>
          </w:tcPr>
          <w:p>
            <w:pPr>
              <w:pStyle w:val="12"/>
            </w:pPr>
            <w:r>
              <w:t>462.57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37.92</w:t>
            </w:r>
          </w:p>
        </w:tc>
        <w:tc>
          <w:tcPr>
            <w:tcW w:w="1361" w:type="dxa"/>
            <w:vAlign w:val="center"/>
          </w:tcPr>
          <w:p>
            <w:pPr>
              <w:pStyle w:val="12"/>
            </w:pPr>
            <w:r>
              <w:t>37.92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150.25</w:t>
            </w:r>
          </w:p>
        </w:tc>
        <w:tc>
          <w:tcPr>
            <w:tcW w:w="1361" w:type="dxa"/>
            <w:vAlign w:val="center"/>
          </w:tcPr>
          <w:p>
            <w:pPr>
              <w:pStyle w:val="12"/>
            </w:pPr>
            <w:r>
              <w:t>150.25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261.16</w:t>
            </w:r>
          </w:p>
        </w:tc>
        <w:tc>
          <w:tcPr>
            <w:tcW w:w="1361" w:type="dxa"/>
            <w:vAlign w:val="center"/>
          </w:tcPr>
          <w:p>
            <w:pPr>
              <w:pStyle w:val="12"/>
            </w:pPr>
            <w:r>
              <w:t>261.16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13.24</w:t>
            </w:r>
          </w:p>
        </w:tc>
        <w:tc>
          <w:tcPr>
            <w:tcW w:w="1361" w:type="dxa"/>
            <w:vAlign w:val="center"/>
          </w:tcPr>
          <w:p>
            <w:pPr>
              <w:pStyle w:val="12"/>
            </w:pPr>
            <w:r>
              <w:t>13.24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10.32</w:t>
            </w:r>
          </w:p>
        </w:tc>
        <w:tc>
          <w:tcPr>
            <w:tcW w:w="1361" w:type="dxa"/>
            <w:vAlign w:val="center"/>
          </w:tcPr>
          <w:p>
            <w:pPr>
              <w:pStyle w:val="12"/>
            </w:pPr>
            <w:r>
              <w:t>10.32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1.08</w:t>
            </w:r>
          </w:p>
        </w:tc>
        <w:tc>
          <w:tcPr>
            <w:tcW w:w="1361" w:type="dxa"/>
            <w:vAlign w:val="center"/>
          </w:tcPr>
          <w:p>
            <w:pPr>
              <w:pStyle w:val="12"/>
            </w:pPr>
            <w:r>
              <w:t>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2080802</w:t>
            </w:r>
          </w:p>
        </w:tc>
        <w:tc>
          <w:tcPr>
            <w:tcW w:w="4535" w:type="dxa"/>
            <w:vAlign w:val="center"/>
          </w:tcPr>
          <w:p>
            <w:pPr>
              <w:pStyle w:val="13"/>
            </w:pPr>
            <w:r>
              <w:t>伤残抚恤</w:t>
            </w:r>
          </w:p>
        </w:tc>
        <w:tc>
          <w:tcPr>
            <w:tcW w:w="1361" w:type="dxa"/>
            <w:vAlign w:val="center"/>
          </w:tcPr>
          <w:p>
            <w:pPr>
              <w:pStyle w:val="12"/>
            </w:pPr>
            <w:r>
              <w:t>9.24</w:t>
            </w:r>
          </w:p>
        </w:tc>
        <w:tc>
          <w:tcPr>
            <w:tcW w:w="1361" w:type="dxa"/>
            <w:vAlign w:val="center"/>
          </w:tcPr>
          <w:p>
            <w:pPr>
              <w:pStyle w:val="12"/>
            </w:pPr>
            <w:r>
              <w:t>9.24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127.89</w:t>
            </w:r>
          </w:p>
        </w:tc>
        <w:tc>
          <w:tcPr>
            <w:tcW w:w="1361" w:type="dxa"/>
            <w:vAlign w:val="center"/>
          </w:tcPr>
          <w:p>
            <w:pPr>
              <w:pStyle w:val="12"/>
            </w:pPr>
            <w:r>
              <w:t>127.89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127.89</w:t>
            </w:r>
          </w:p>
        </w:tc>
        <w:tc>
          <w:tcPr>
            <w:tcW w:w="1361" w:type="dxa"/>
            <w:vAlign w:val="center"/>
          </w:tcPr>
          <w:p>
            <w:pPr>
              <w:pStyle w:val="12"/>
            </w:pPr>
            <w:r>
              <w:t>127.89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18.50</w:t>
            </w:r>
          </w:p>
        </w:tc>
        <w:tc>
          <w:tcPr>
            <w:tcW w:w="1361" w:type="dxa"/>
            <w:vAlign w:val="center"/>
          </w:tcPr>
          <w:p>
            <w:pPr>
              <w:pStyle w:val="12"/>
            </w:pPr>
            <w:r>
              <w:t>18.50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96.71</w:t>
            </w:r>
          </w:p>
        </w:tc>
        <w:tc>
          <w:tcPr>
            <w:tcW w:w="1361" w:type="dxa"/>
            <w:vAlign w:val="center"/>
          </w:tcPr>
          <w:p>
            <w:pPr>
              <w:pStyle w:val="12"/>
            </w:pPr>
            <w:r>
              <w:t>96.71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12.68</w:t>
            </w:r>
          </w:p>
        </w:tc>
        <w:tc>
          <w:tcPr>
            <w:tcW w:w="1361" w:type="dxa"/>
            <w:vAlign w:val="center"/>
          </w:tcPr>
          <w:p>
            <w:pPr>
              <w:pStyle w:val="12"/>
            </w:pPr>
            <w:r>
              <w:t>12.68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1950.00</w:t>
            </w:r>
          </w:p>
        </w:tc>
        <w:tc>
          <w:tcPr>
            <w:tcW w:w="1361" w:type="dxa"/>
            <w:vAlign w:val="center"/>
          </w:tcPr>
          <w:p>
            <w:pPr>
              <w:pStyle w:val="12"/>
            </w:pPr>
          </w:p>
        </w:tc>
        <w:tc>
          <w:tcPr>
            <w:tcW w:w="1361" w:type="dxa"/>
            <w:vAlign w:val="center"/>
          </w:tcPr>
          <w:p>
            <w:pPr>
              <w:pStyle w:val="12"/>
            </w:pPr>
            <w:r>
              <w:t>1950.00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21198</w:t>
            </w:r>
          </w:p>
        </w:tc>
        <w:tc>
          <w:tcPr>
            <w:tcW w:w="4535" w:type="dxa"/>
            <w:vAlign w:val="center"/>
          </w:tcPr>
          <w:p>
            <w:pPr>
              <w:pStyle w:val="13"/>
            </w:pPr>
            <w:r>
              <w:t>超长期特别国债安排的支出</w:t>
            </w:r>
          </w:p>
        </w:tc>
        <w:tc>
          <w:tcPr>
            <w:tcW w:w="1361" w:type="dxa"/>
            <w:vAlign w:val="center"/>
          </w:tcPr>
          <w:p>
            <w:pPr>
              <w:pStyle w:val="12"/>
            </w:pPr>
            <w:r>
              <w:t>1950.00</w:t>
            </w:r>
          </w:p>
        </w:tc>
        <w:tc>
          <w:tcPr>
            <w:tcW w:w="1361" w:type="dxa"/>
            <w:vAlign w:val="center"/>
          </w:tcPr>
          <w:p>
            <w:pPr>
              <w:pStyle w:val="12"/>
            </w:pPr>
          </w:p>
        </w:tc>
        <w:tc>
          <w:tcPr>
            <w:tcW w:w="1361" w:type="dxa"/>
            <w:vAlign w:val="center"/>
          </w:tcPr>
          <w:p>
            <w:pPr>
              <w:pStyle w:val="12"/>
            </w:pPr>
            <w:r>
              <w:t>1950.00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2119802</w:t>
            </w:r>
          </w:p>
        </w:tc>
        <w:tc>
          <w:tcPr>
            <w:tcW w:w="4535" w:type="dxa"/>
            <w:vAlign w:val="center"/>
          </w:tcPr>
          <w:p>
            <w:pPr>
              <w:pStyle w:val="13"/>
            </w:pPr>
            <w:r>
              <w:t>应对气候变化</w:t>
            </w:r>
          </w:p>
        </w:tc>
        <w:tc>
          <w:tcPr>
            <w:tcW w:w="1361" w:type="dxa"/>
            <w:vAlign w:val="center"/>
          </w:tcPr>
          <w:p>
            <w:pPr>
              <w:pStyle w:val="12"/>
            </w:pPr>
            <w:r>
              <w:t>1950.00</w:t>
            </w:r>
          </w:p>
        </w:tc>
        <w:tc>
          <w:tcPr>
            <w:tcW w:w="1361" w:type="dxa"/>
            <w:vAlign w:val="center"/>
          </w:tcPr>
          <w:p>
            <w:pPr>
              <w:pStyle w:val="12"/>
            </w:pPr>
          </w:p>
        </w:tc>
        <w:tc>
          <w:tcPr>
            <w:tcW w:w="1361" w:type="dxa"/>
            <w:vAlign w:val="center"/>
          </w:tcPr>
          <w:p>
            <w:pPr>
              <w:pStyle w:val="12"/>
            </w:pPr>
            <w:r>
              <w:t>1950.00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15929.98</w:t>
            </w:r>
          </w:p>
        </w:tc>
        <w:tc>
          <w:tcPr>
            <w:tcW w:w="1361" w:type="dxa"/>
            <w:vAlign w:val="center"/>
          </w:tcPr>
          <w:p>
            <w:pPr>
              <w:pStyle w:val="12"/>
            </w:pPr>
            <w:r>
              <w:t>2151.09</w:t>
            </w:r>
          </w:p>
        </w:tc>
        <w:tc>
          <w:tcPr>
            <w:tcW w:w="1361" w:type="dxa"/>
            <w:vAlign w:val="center"/>
          </w:tcPr>
          <w:p>
            <w:pPr>
              <w:pStyle w:val="12"/>
            </w:pPr>
            <w:r>
              <w:t>13778.89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11076.50</w:t>
            </w:r>
          </w:p>
        </w:tc>
        <w:tc>
          <w:tcPr>
            <w:tcW w:w="1361" w:type="dxa"/>
            <w:vAlign w:val="center"/>
          </w:tcPr>
          <w:p>
            <w:pPr>
              <w:pStyle w:val="12"/>
            </w:pPr>
            <w:r>
              <w:t>2151.09</w:t>
            </w:r>
          </w:p>
        </w:tc>
        <w:tc>
          <w:tcPr>
            <w:tcW w:w="1361" w:type="dxa"/>
            <w:vAlign w:val="center"/>
          </w:tcPr>
          <w:p>
            <w:pPr>
              <w:pStyle w:val="12"/>
            </w:pPr>
            <w:r>
              <w:t>8925.41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2120101</w:t>
            </w:r>
          </w:p>
        </w:tc>
        <w:tc>
          <w:tcPr>
            <w:tcW w:w="4535" w:type="dxa"/>
            <w:vAlign w:val="center"/>
          </w:tcPr>
          <w:p>
            <w:pPr>
              <w:pStyle w:val="13"/>
            </w:pPr>
            <w:r>
              <w:t>行政运行</w:t>
            </w:r>
          </w:p>
        </w:tc>
        <w:tc>
          <w:tcPr>
            <w:tcW w:w="1361" w:type="dxa"/>
            <w:vAlign w:val="center"/>
          </w:tcPr>
          <w:p>
            <w:pPr>
              <w:pStyle w:val="12"/>
            </w:pPr>
            <w:r>
              <w:t>2166.09</w:t>
            </w:r>
          </w:p>
        </w:tc>
        <w:tc>
          <w:tcPr>
            <w:tcW w:w="1361" w:type="dxa"/>
            <w:vAlign w:val="center"/>
          </w:tcPr>
          <w:p>
            <w:pPr>
              <w:pStyle w:val="12"/>
            </w:pPr>
            <w:r>
              <w:t>2151.09</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2120104</w:t>
            </w:r>
          </w:p>
        </w:tc>
        <w:tc>
          <w:tcPr>
            <w:tcW w:w="4535" w:type="dxa"/>
            <w:vAlign w:val="center"/>
          </w:tcPr>
          <w:p>
            <w:pPr>
              <w:pStyle w:val="13"/>
            </w:pPr>
            <w:r>
              <w:t>城管执法</w:t>
            </w:r>
          </w:p>
        </w:tc>
        <w:tc>
          <w:tcPr>
            <w:tcW w:w="1361" w:type="dxa"/>
            <w:vAlign w:val="center"/>
          </w:tcPr>
          <w:p>
            <w:pPr>
              <w:pStyle w:val="12"/>
            </w:pPr>
            <w:r>
              <w:t>8910.41</w:t>
            </w:r>
          </w:p>
        </w:tc>
        <w:tc>
          <w:tcPr>
            <w:tcW w:w="1361" w:type="dxa"/>
            <w:vAlign w:val="center"/>
          </w:tcPr>
          <w:p>
            <w:pPr>
              <w:pStyle w:val="12"/>
            </w:pPr>
          </w:p>
        </w:tc>
        <w:tc>
          <w:tcPr>
            <w:tcW w:w="1361" w:type="dxa"/>
            <w:vAlign w:val="center"/>
          </w:tcPr>
          <w:p>
            <w:pPr>
              <w:pStyle w:val="12"/>
            </w:pPr>
            <w:r>
              <w:t>8910.41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3731.72</w:t>
            </w:r>
          </w:p>
        </w:tc>
        <w:tc>
          <w:tcPr>
            <w:tcW w:w="1361" w:type="dxa"/>
            <w:vAlign w:val="center"/>
          </w:tcPr>
          <w:p>
            <w:pPr>
              <w:pStyle w:val="12"/>
            </w:pPr>
          </w:p>
        </w:tc>
        <w:tc>
          <w:tcPr>
            <w:tcW w:w="1361" w:type="dxa"/>
            <w:vAlign w:val="center"/>
          </w:tcPr>
          <w:p>
            <w:pPr>
              <w:pStyle w:val="12"/>
            </w:pPr>
            <w:r>
              <w:t>3731.72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2120303</w:t>
            </w:r>
          </w:p>
        </w:tc>
        <w:tc>
          <w:tcPr>
            <w:tcW w:w="4535" w:type="dxa"/>
            <w:vAlign w:val="center"/>
          </w:tcPr>
          <w:p>
            <w:pPr>
              <w:pStyle w:val="13"/>
            </w:pPr>
            <w:r>
              <w:t>小城镇基础设施建设</w:t>
            </w:r>
          </w:p>
        </w:tc>
        <w:tc>
          <w:tcPr>
            <w:tcW w:w="1361" w:type="dxa"/>
            <w:vAlign w:val="center"/>
          </w:tcPr>
          <w:p>
            <w:pPr>
              <w:pStyle w:val="12"/>
            </w:pPr>
            <w:r>
              <w:t>2400.00</w:t>
            </w:r>
          </w:p>
        </w:tc>
        <w:tc>
          <w:tcPr>
            <w:tcW w:w="1361" w:type="dxa"/>
            <w:vAlign w:val="center"/>
          </w:tcPr>
          <w:p>
            <w:pPr>
              <w:pStyle w:val="12"/>
            </w:pPr>
          </w:p>
        </w:tc>
        <w:tc>
          <w:tcPr>
            <w:tcW w:w="1361" w:type="dxa"/>
            <w:vAlign w:val="center"/>
          </w:tcPr>
          <w:p>
            <w:pPr>
              <w:pStyle w:val="12"/>
            </w:pPr>
            <w:r>
              <w:t>2400.00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2120399</w:t>
            </w:r>
          </w:p>
        </w:tc>
        <w:tc>
          <w:tcPr>
            <w:tcW w:w="4535" w:type="dxa"/>
            <w:vAlign w:val="center"/>
          </w:tcPr>
          <w:p>
            <w:pPr>
              <w:pStyle w:val="13"/>
            </w:pPr>
            <w:r>
              <w:t>其他城乡社区公共设施支出</w:t>
            </w:r>
          </w:p>
        </w:tc>
        <w:tc>
          <w:tcPr>
            <w:tcW w:w="1361" w:type="dxa"/>
            <w:vAlign w:val="center"/>
          </w:tcPr>
          <w:p>
            <w:pPr>
              <w:pStyle w:val="12"/>
            </w:pPr>
            <w:r>
              <w:t>1331.72</w:t>
            </w:r>
          </w:p>
        </w:tc>
        <w:tc>
          <w:tcPr>
            <w:tcW w:w="1361" w:type="dxa"/>
            <w:vAlign w:val="center"/>
          </w:tcPr>
          <w:p>
            <w:pPr>
              <w:pStyle w:val="12"/>
            </w:pPr>
          </w:p>
        </w:tc>
        <w:tc>
          <w:tcPr>
            <w:tcW w:w="1361" w:type="dxa"/>
            <w:vAlign w:val="center"/>
          </w:tcPr>
          <w:p>
            <w:pPr>
              <w:pStyle w:val="12"/>
            </w:pPr>
            <w:r>
              <w:t>1331.72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21213</w:t>
            </w:r>
          </w:p>
        </w:tc>
        <w:tc>
          <w:tcPr>
            <w:tcW w:w="4535" w:type="dxa"/>
            <w:vAlign w:val="center"/>
          </w:tcPr>
          <w:p>
            <w:pPr>
              <w:pStyle w:val="13"/>
            </w:pPr>
            <w:r>
              <w:t>城市基础设施配套费安排的支出</w:t>
            </w:r>
          </w:p>
        </w:tc>
        <w:tc>
          <w:tcPr>
            <w:tcW w:w="1361" w:type="dxa"/>
            <w:vAlign w:val="center"/>
          </w:tcPr>
          <w:p>
            <w:pPr>
              <w:pStyle w:val="12"/>
            </w:pPr>
            <w:r>
              <w:t>1121.75</w:t>
            </w:r>
          </w:p>
        </w:tc>
        <w:tc>
          <w:tcPr>
            <w:tcW w:w="1361" w:type="dxa"/>
            <w:vAlign w:val="center"/>
          </w:tcPr>
          <w:p>
            <w:pPr>
              <w:pStyle w:val="12"/>
            </w:pPr>
          </w:p>
        </w:tc>
        <w:tc>
          <w:tcPr>
            <w:tcW w:w="1361" w:type="dxa"/>
            <w:vAlign w:val="center"/>
          </w:tcPr>
          <w:p>
            <w:pPr>
              <w:pStyle w:val="12"/>
            </w:pPr>
            <w:r>
              <w:t>1121.75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2121301</w:t>
            </w:r>
          </w:p>
        </w:tc>
        <w:tc>
          <w:tcPr>
            <w:tcW w:w="4535" w:type="dxa"/>
            <w:vAlign w:val="center"/>
          </w:tcPr>
          <w:p>
            <w:pPr>
              <w:pStyle w:val="13"/>
            </w:pPr>
            <w:r>
              <w:t>城市公共设施</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2121302</w:t>
            </w:r>
          </w:p>
        </w:tc>
        <w:tc>
          <w:tcPr>
            <w:tcW w:w="4535" w:type="dxa"/>
            <w:vAlign w:val="center"/>
          </w:tcPr>
          <w:p>
            <w:pPr>
              <w:pStyle w:val="13"/>
            </w:pPr>
            <w:r>
              <w:t>城市环境卫生</w:t>
            </w:r>
          </w:p>
        </w:tc>
        <w:tc>
          <w:tcPr>
            <w:tcW w:w="1361" w:type="dxa"/>
            <w:vAlign w:val="center"/>
          </w:tcPr>
          <w:p>
            <w:pPr>
              <w:pStyle w:val="12"/>
            </w:pPr>
            <w:r>
              <w:t>1096.75</w:t>
            </w:r>
          </w:p>
        </w:tc>
        <w:tc>
          <w:tcPr>
            <w:tcW w:w="1361" w:type="dxa"/>
            <w:vAlign w:val="center"/>
          </w:tcPr>
          <w:p>
            <w:pPr>
              <w:pStyle w:val="12"/>
            </w:pPr>
          </w:p>
        </w:tc>
        <w:tc>
          <w:tcPr>
            <w:tcW w:w="1361" w:type="dxa"/>
            <w:vAlign w:val="center"/>
          </w:tcPr>
          <w:p>
            <w:pPr>
              <w:pStyle w:val="12"/>
            </w:pPr>
            <w:r>
              <w:t>1096.75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209.51</w:t>
            </w:r>
          </w:p>
        </w:tc>
        <w:tc>
          <w:tcPr>
            <w:tcW w:w="1361" w:type="dxa"/>
            <w:vAlign w:val="center"/>
          </w:tcPr>
          <w:p>
            <w:pPr>
              <w:pStyle w:val="12"/>
            </w:pPr>
            <w:r>
              <w:t>209.51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209.51</w:t>
            </w:r>
          </w:p>
        </w:tc>
        <w:tc>
          <w:tcPr>
            <w:tcW w:w="1361" w:type="dxa"/>
            <w:vAlign w:val="center"/>
          </w:tcPr>
          <w:p>
            <w:pPr>
              <w:pStyle w:val="12"/>
            </w:pPr>
            <w:r>
              <w:t>209.51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209.51</w:t>
            </w:r>
          </w:p>
        </w:tc>
        <w:tc>
          <w:tcPr>
            <w:tcW w:w="1361" w:type="dxa"/>
            <w:vAlign w:val="center"/>
          </w:tcPr>
          <w:p>
            <w:pPr>
              <w:pStyle w:val="12"/>
            </w:pPr>
            <w:r>
              <w:t>209.51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474承德市城市管理综合行政执法局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4445.74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817.35</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472.89</w:t>
            </w:r>
          </w:p>
        </w:tc>
        <w:tc>
          <w:tcPr>
            <w:tcW w:w="1474" w:type="dxa"/>
            <w:vAlign w:val="center"/>
          </w:tcPr>
          <w:p>
            <w:pPr>
              <w:pStyle w:val="12"/>
            </w:pPr>
            <w:r>
              <w:t>472.89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127.89</w:t>
            </w:r>
          </w:p>
        </w:tc>
        <w:tc>
          <w:tcPr>
            <w:tcW w:w="1474" w:type="dxa"/>
            <w:vAlign w:val="center"/>
          </w:tcPr>
          <w:p>
            <w:pPr>
              <w:pStyle w:val="12"/>
            </w:pPr>
            <w:r>
              <w:t>127.89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1950.00</w:t>
            </w:r>
          </w:p>
        </w:tc>
        <w:tc>
          <w:tcPr>
            <w:tcW w:w="1474" w:type="dxa"/>
            <w:vAlign w:val="center"/>
          </w:tcPr>
          <w:p>
            <w:pPr>
              <w:pStyle w:val="12"/>
            </w:pPr>
          </w:p>
        </w:tc>
        <w:tc>
          <w:tcPr>
            <w:tcW w:w="1474" w:type="dxa"/>
            <w:vAlign w:val="center"/>
          </w:tcPr>
          <w:p>
            <w:pPr>
              <w:pStyle w:val="12"/>
            </w:pPr>
            <w:r>
              <w:t>1950.00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15929.98</w:t>
            </w:r>
          </w:p>
        </w:tc>
        <w:tc>
          <w:tcPr>
            <w:tcW w:w="1474" w:type="dxa"/>
            <w:vAlign w:val="center"/>
          </w:tcPr>
          <w:p>
            <w:pPr>
              <w:pStyle w:val="12"/>
            </w:pPr>
            <w:r>
              <w:t>14808.23</w:t>
            </w:r>
          </w:p>
        </w:tc>
        <w:tc>
          <w:tcPr>
            <w:tcW w:w="1474" w:type="dxa"/>
            <w:vAlign w:val="center"/>
          </w:tcPr>
          <w:p>
            <w:pPr>
              <w:pStyle w:val="12"/>
            </w:pPr>
            <w:r>
              <w:t>1121.75</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209.51</w:t>
            </w:r>
          </w:p>
        </w:tc>
        <w:tc>
          <w:tcPr>
            <w:tcW w:w="1474" w:type="dxa"/>
            <w:vAlign w:val="center"/>
          </w:tcPr>
          <w:p>
            <w:pPr>
              <w:pStyle w:val="12"/>
            </w:pPr>
            <w:r>
              <w:t>209.51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5263.09</w:t>
            </w:r>
          </w:p>
        </w:tc>
        <w:tc>
          <w:tcPr>
            <w:tcW w:w="3402" w:type="dxa"/>
            <w:vAlign w:val="center"/>
          </w:tcPr>
          <w:p>
            <w:pPr>
              <w:pStyle w:val="15"/>
            </w:pPr>
            <w:r>
              <w:t>本年支出合计</w:t>
            </w:r>
          </w:p>
        </w:tc>
        <w:tc>
          <w:tcPr>
            <w:tcW w:w="1474" w:type="dxa"/>
            <w:vAlign w:val="center"/>
          </w:tcPr>
          <w:p>
            <w:pPr>
              <w:pStyle w:val="16"/>
            </w:pPr>
            <w:r>
              <w:t>18690.27</w:t>
            </w:r>
          </w:p>
        </w:tc>
        <w:tc>
          <w:tcPr>
            <w:tcW w:w="1474" w:type="dxa"/>
            <w:vAlign w:val="center"/>
          </w:tcPr>
          <w:p>
            <w:pPr>
              <w:pStyle w:val="16"/>
            </w:pPr>
            <w:r>
              <w:t>15618.52</w:t>
            </w:r>
          </w:p>
        </w:tc>
        <w:tc>
          <w:tcPr>
            <w:tcW w:w="1474" w:type="dxa"/>
            <w:vAlign w:val="center"/>
          </w:tcPr>
          <w:p>
            <w:pPr>
              <w:pStyle w:val="16"/>
            </w:pPr>
            <w:r>
              <w:t>3071.75</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13427.18</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11172.78</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2254.40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18690.27</w:t>
            </w:r>
          </w:p>
        </w:tc>
        <w:tc>
          <w:tcPr>
            <w:tcW w:w="3402" w:type="dxa"/>
            <w:vAlign w:val="center"/>
          </w:tcPr>
          <w:p>
            <w:pPr>
              <w:pStyle w:val="15"/>
            </w:pPr>
            <w:r>
              <w:t>支出总计</w:t>
            </w:r>
          </w:p>
        </w:tc>
        <w:tc>
          <w:tcPr>
            <w:tcW w:w="1474" w:type="dxa"/>
            <w:vAlign w:val="center"/>
          </w:tcPr>
          <w:p>
            <w:pPr>
              <w:pStyle w:val="16"/>
            </w:pPr>
            <w:r>
              <w:t>18690.27</w:t>
            </w:r>
          </w:p>
        </w:tc>
        <w:tc>
          <w:tcPr>
            <w:tcW w:w="1474" w:type="dxa"/>
            <w:vAlign w:val="center"/>
          </w:tcPr>
          <w:p>
            <w:pPr>
              <w:pStyle w:val="16"/>
            </w:pPr>
            <w:r>
              <w:t>15618.52</w:t>
            </w:r>
          </w:p>
        </w:tc>
        <w:tc>
          <w:tcPr>
            <w:tcW w:w="1474" w:type="dxa"/>
            <w:vAlign w:val="center"/>
          </w:tcPr>
          <w:p>
            <w:pPr>
              <w:pStyle w:val="16"/>
            </w:pPr>
            <w:r>
              <w:t>3071.75</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474承德市城市管理综合行政执法局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15618.52</w:t>
            </w:r>
          </w:p>
        </w:tc>
        <w:tc>
          <w:tcPr>
            <w:tcW w:w="2551" w:type="dxa"/>
            <w:vAlign w:val="center"/>
          </w:tcPr>
          <w:p>
            <w:pPr>
              <w:pStyle w:val="16"/>
            </w:pPr>
            <w:r>
              <w:t>2961.38</w:t>
            </w:r>
          </w:p>
        </w:tc>
        <w:tc>
          <w:tcPr>
            <w:tcW w:w="2551" w:type="dxa"/>
            <w:vAlign w:val="center"/>
          </w:tcPr>
          <w:p>
            <w:pPr>
              <w:pStyle w:val="16"/>
            </w:pPr>
            <w:r>
              <w:t>12657.14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472.89</w:t>
            </w:r>
          </w:p>
        </w:tc>
        <w:tc>
          <w:tcPr>
            <w:tcW w:w="2551" w:type="dxa"/>
            <w:vAlign w:val="center"/>
          </w:tcPr>
          <w:p>
            <w:pPr>
              <w:pStyle w:val="12"/>
            </w:pPr>
            <w:r>
              <w:t>472.89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462.57</w:t>
            </w:r>
          </w:p>
        </w:tc>
        <w:tc>
          <w:tcPr>
            <w:tcW w:w="2551" w:type="dxa"/>
            <w:vAlign w:val="center"/>
          </w:tcPr>
          <w:p>
            <w:pPr>
              <w:pStyle w:val="12"/>
            </w:pPr>
            <w:r>
              <w:t>462.57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37.92</w:t>
            </w:r>
          </w:p>
        </w:tc>
        <w:tc>
          <w:tcPr>
            <w:tcW w:w="2551" w:type="dxa"/>
            <w:vAlign w:val="center"/>
          </w:tcPr>
          <w:p>
            <w:pPr>
              <w:pStyle w:val="12"/>
            </w:pPr>
            <w:r>
              <w:t>37.92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150.25</w:t>
            </w:r>
          </w:p>
        </w:tc>
        <w:tc>
          <w:tcPr>
            <w:tcW w:w="2551" w:type="dxa"/>
            <w:vAlign w:val="center"/>
          </w:tcPr>
          <w:p>
            <w:pPr>
              <w:pStyle w:val="12"/>
            </w:pPr>
            <w:r>
              <w:t>150.25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261.16</w:t>
            </w:r>
          </w:p>
        </w:tc>
        <w:tc>
          <w:tcPr>
            <w:tcW w:w="2551" w:type="dxa"/>
            <w:vAlign w:val="center"/>
          </w:tcPr>
          <w:p>
            <w:pPr>
              <w:pStyle w:val="12"/>
            </w:pPr>
            <w:r>
              <w:t>261.16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13.24</w:t>
            </w:r>
          </w:p>
        </w:tc>
        <w:tc>
          <w:tcPr>
            <w:tcW w:w="2551" w:type="dxa"/>
            <w:vAlign w:val="center"/>
          </w:tcPr>
          <w:p>
            <w:pPr>
              <w:pStyle w:val="12"/>
            </w:pPr>
            <w:r>
              <w:t>13.24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10.32</w:t>
            </w:r>
          </w:p>
        </w:tc>
        <w:tc>
          <w:tcPr>
            <w:tcW w:w="2551" w:type="dxa"/>
            <w:vAlign w:val="center"/>
          </w:tcPr>
          <w:p>
            <w:pPr>
              <w:pStyle w:val="12"/>
            </w:pPr>
            <w:r>
              <w:t>10.32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1.08</w:t>
            </w:r>
          </w:p>
        </w:tc>
        <w:tc>
          <w:tcPr>
            <w:tcW w:w="2551" w:type="dxa"/>
            <w:vAlign w:val="center"/>
          </w:tcPr>
          <w:p>
            <w:pPr>
              <w:pStyle w:val="12"/>
            </w:pPr>
            <w:r>
              <w:t>1.08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2080802</w:t>
            </w:r>
          </w:p>
        </w:tc>
        <w:tc>
          <w:tcPr>
            <w:tcW w:w="4535" w:type="dxa"/>
            <w:vAlign w:val="center"/>
          </w:tcPr>
          <w:p>
            <w:pPr>
              <w:pStyle w:val="13"/>
            </w:pPr>
            <w:r>
              <w:t>伤残抚恤</w:t>
            </w:r>
          </w:p>
        </w:tc>
        <w:tc>
          <w:tcPr>
            <w:tcW w:w="2551" w:type="dxa"/>
            <w:vAlign w:val="center"/>
          </w:tcPr>
          <w:p>
            <w:pPr>
              <w:pStyle w:val="12"/>
            </w:pPr>
            <w:r>
              <w:t>9.24</w:t>
            </w:r>
          </w:p>
        </w:tc>
        <w:tc>
          <w:tcPr>
            <w:tcW w:w="2551" w:type="dxa"/>
            <w:vAlign w:val="center"/>
          </w:tcPr>
          <w:p>
            <w:pPr>
              <w:pStyle w:val="12"/>
            </w:pPr>
            <w:r>
              <w:t>9.24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127.89</w:t>
            </w:r>
          </w:p>
        </w:tc>
        <w:tc>
          <w:tcPr>
            <w:tcW w:w="2551" w:type="dxa"/>
            <w:vAlign w:val="center"/>
          </w:tcPr>
          <w:p>
            <w:pPr>
              <w:pStyle w:val="12"/>
            </w:pPr>
            <w:r>
              <w:t>127.89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127.89</w:t>
            </w:r>
          </w:p>
        </w:tc>
        <w:tc>
          <w:tcPr>
            <w:tcW w:w="2551" w:type="dxa"/>
            <w:vAlign w:val="center"/>
          </w:tcPr>
          <w:p>
            <w:pPr>
              <w:pStyle w:val="12"/>
            </w:pPr>
            <w:r>
              <w:t>127.89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18.50</w:t>
            </w:r>
          </w:p>
        </w:tc>
        <w:tc>
          <w:tcPr>
            <w:tcW w:w="2551" w:type="dxa"/>
            <w:vAlign w:val="center"/>
          </w:tcPr>
          <w:p>
            <w:pPr>
              <w:pStyle w:val="12"/>
            </w:pPr>
            <w:r>
              <w:t>18.50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96.71</w:t>
            </w:r>
          </w:p>
        </w:tc>
        <w:tc>
          <w:tcPr>
            <w:tcW w:w="2551" w:type="dxa"/>
            <w:vAlign w:val="center"/>
          </w:tcPr>
          <w:p>
            <w:pPr>
              <w:pStyle w:val="12"/>
            </w:pPr>
            <w:r>
              <w:t>96.71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12.68</w:t>
            </w:r>
          </w:p>
        </w:tc>
        <w:tc>
          <w:tcPr>
            <w:tcW w:w="2551" w:type="dxa"/>
            <w:vAlign w:val="center"/>
          </w:tcPr>
          <w:p>
            <w:pPr>
              <w:pStyle w:val="12"/>
            </w:pPr>
            <w:r>
              <w:t>12.68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14808.23</w:t>
            </w:r>
          </w:p>
        </w:tc>
        <w:tc>
          <w:tcPr>
            <w:tcW w:w="2551" w:type="dxa"/>
            <w:vAlign w:val="center"/>
          </w:tcPr>
          <w:p>
            <w:pPr>
              <w:pStyle w:val="12"/>
            </w:pPr>
            <w:r>
              <w:t>2151.09</w:t>
            </w:r>
          </w:p>
        </w:tc>
        <w:tc>
          <w:tcPr>
            <w:tcW w:w="2551" w:type="dxa"/>
            <w:vAlign w:val="center"/>
          </w:tcPr>
          <w:p>
            <w:pPr>
              <w:pStyle w:val="12"/>
            </w:pPr>
            <w:r>
              <w:t>12657.14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11076.50</w:t>
            </w:r>
          </w:p>
        </w:tc>
        <w:tc>
          <w:tcPr>
            <w:tcW w:w="2551" w:type="dxa"/>
            <w:vAlign w:val="center"/>
          </w:tcPr>
          <w:p>
            <w:pPr>
              <w:pStyle w:val="12"/>
            </w:pPr>
            <w:r>
              <w:t>2151.09</w:t>
            </w:r>
          </w:p>
        </w:tc>
        <w:tc>
          <w:tcPr>
            <w:tcW w:w="2551" w:type="dxa"/>
            <w:vAlign w:val="center"/>
          </w:tcPr>
          <w:p>
            <w:pPr>
              <w:pStyle w:val="12"/>
            </w:pPr>
            <w:r>
              <w:t>8925.41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2120101</w:t>
            </w:r>
          </w:p>
        </w:tc>
        <w:tc>
          <w:tcPr>
            <w:tcW w:w="4535" w:type="dxa"/>
            <w:vAlign w:val="center"/>
          </w:tcPr>
          <w:p>
            <w:pPr>
              <w:pStyle w:val="13"/>
            </w:pPr>
            <w:r>
              <w:t>行政运行</w:t>
            </w:r>
          </w:p>
        </w:tc>
        <w:tc>
          <w:tcPr>
            <w:tcW w:w="2551" w:type="dxa"/>
            <w:vAlign w:val="center"/>
          </w:tcPr>
          <w:p>
            <w:pPr>
              <w:pStyle w:val="12"/>
            </w:pPr>
            <w:r>
              <w:t>2166.09</w:t>
            </w:r>
          </w:p>
        </w:tc>
        <w:tc>
          <w:tcPr>
            <w:tcW w:w="2551" w:type="dxa"/>
            <w:vAlign w:val="center"/>
          </w:tcPr>
          <w:p>
            <w:pPr>
              <w:pStyle w:val="12"/>
            </w:pPr>
            <w:r>
              <w:t>2151.09</w:t>
            </w: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2120104</w:t>
            </w:r>
          </w:p>
        </w:tc>
        <w:tc>
          <w:tcPr>
            <w:tcW w:w="4535" w:type="dxa"/>
            <w:vAlign w:val="center"/>
          </w:tcPr>
          <w:p>
            <w:pPr>
              <w:pStyle w:val="13"/>
            </w:pPr>
            <w:r>
              <w:t>城管执法</w:t>
            </w:r>
          </w:p>
        </w:tc>
        <w:tc>
          <w:tcPr>
            <w:tcW w:w="2551" w:type="dxa"/>
            <w:vAlign w:val="center"/>
          </w:tcPr>
          <w:p>
            <w:pPr>
              <w:pStyle w:val="12"/>
            </w:pPr>
            <w:r>
              <w:t>8910.41</w:t>
            </w:r>
          </w:p>
        </w:tc>
        <w:tc>
          <w:tcPr>
            <w:tcW w:w="2551" w:type="dxa"/>
            <w:vAlign w:val="center"/>
          </w:tcPr>
          <w:p>
            <w:pPr>
              <w:pStyle w:val="12"/>
            </w:pPr>
          </w:p>
        </w:tc>
        <w:tc>
          <w:tcPr>
            <w:tcW w:w="2551" w:type="dxa"/>
            <w:vAlign w:val="center"/>
          </w:tcPr>
          <w:p>
            <w:pPr>
              <w:pStyle w:val="12"/>
            </w:pPr>
            <w:r>
              <w:t>8910.41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3731.72</w:t>
            </w:r>
          </w:p>
        </w:tc>
        <w:tc>
          <w:tcPr>
            <w:tcW w:w="2551" w:type="dxa"/>
            <w:vAlign w:val="center"/>
          </w:tcPr>
          <w:p>
            <w:pPr>
              <w:pStyle w:val="12"/>
            </w:pPr>
          </w:p>
        </w:tc>
        <w:tc>
          <w:tcPr>
            <w:tcW w:w="2551" w:type="dxa"/>
            <w:vAlign w:val="center"/>
          </w:tcPr>
          <w:p>
            <w:pPr>
              <w:pStyle w:val="12"/>
            </w:pPr>
            <w:r>
              <w:t>3731.72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2120303</w:t>
            </w:r>
          </w:p>
        </w:tc>
        <w:tc>
          <w:tcPr>
            <w:tcW w:w="4535" w:type="dxa"/>
            <w:vAlign w:val="center"/>
          </w:tcPr>
          <w:p>
            <w:pPr>
              <w:pStyle w:val="13"/>
            </w:pPr>
            <w:r>
              <w:t>小城镇基础设施建设</w:t>
            </w:r>
          </w:p>
        </w:tc>
        <w:tc>
          <w:tcPr>
            <w:tcW w:w="2551" w:type="dxa"/>
            <w:vAlign w:val="center"/>
          </w:tcPr>
          <w:p>
            <w:pPr>
              <w:pStyle w:val="12"/>
            </w:pPr>
            <w:r>
              <w:t>2400.00</w:t>
            </w:r>
          </w:p>
        </w:tc>
        <w:tc>
          <w:tcPr>
            <w:tcW w:w="2551" w:type="dxa"/>
            <w:vAlign w:val="center"/>
          </w:tcPr>
          <w:p>
            <w:pPr>
              <w:pStyle w:val="12"/>
            </w:pPr>
          </w:p>
        </w:tc>
        <w:tc>
          <w:tcPr>
            <w:tcW w:w="2551" w:type="dxa"/>
            <w:vAlign w:val="center"/>
          </w:tcPr>
          <w:p>
            <w:pPr>
              <w:pStyle w:val="12"/>
            </w:pPr>
            <w:r>
              <w:t>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1331.72</w:t>
            </w:r>
          </w:p>
        </w:tc>
        <w:tc>
          <w:tcPr>
            <w:tcW w:w="2551" w:type="dxa"/>
            <w:vAlign w:val="center"/>
          </w:tcPr>
          <w:p>
            <w:pPr>
              <w:pStyle w:val="12"/>
            </w:pPr>
          </w:p>
        </w:tc>
        <w:tc>
          <w:tcPr>
            <w:tcW w:w="2551" w:type="dxa"/>
            <w:vAlign w:val="center"/>
          </w:tcPr>
          <w:p>
            <w:pPr>
              <w:pStyle w:val="12"/>
            </w:pPr>
            <w:r>
              <w:t>1331.72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209.51</w:t>
            </w:r>
          </w:p>
        </w:tc>
        <w:tc>
          <w:tcPr>
            <w:tcW w:w="2551" w:type="dxa"/>
            <w:vAlign w:val="center"/>
          </w:tcPr>
          <w:p>
            <w:pPr>
              <w:pStyle w:val="12"/>
            </w:pPr>
            <w:r>
              <w:t>209.51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209.51</w:t>
            </w:r>
          </w:p>
        </w:tc>
        <w:tc>
          <w:tcPr>
            <w:tcW w:w="2551" w:type="dxa"/>
            <w:vAlign w:val="center"/>
          </w:tcPr>
          <w:p>
            <w:pPr>
              <w:pStyle w:val="12"/>
            </w:pPr>
            <w:r>
              <w:t>209.51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209.51</w:t>
            </w:r>
          </w:p>
        </w:tc>
        <w:tc>
          <w:tcPr>
            <w:tcW w:w="2551" w:type="dxa"/>
            <w:vAlign w:val="center"/>
          </w:tcPr>
          <w:p>
            <w:pPr>
              <w:pStyle w:val="12"/>
            </w:pPr>
            <w:r>
              <w:t>209.51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474承德市城市管理综合行政执法局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2961.38</w:t>
            </w:r>
          </w:p>
        </w:tc>
        <w:tc>
          <w:tcPr>
            <w:tcW w:w="2551" w:type="dxa"/>
            <w:vAlign w:val="center"/>
          </w:tcPr>
          <w:p>
            <w:pPr>
              <w:pStyle w:val="16"/>
            </w:pPr>
            <w:r>
              <w:t>2763.68</w:t>
            </w:r>
          </w:p>
        </w:tc>
        <w:tc>
          <w:tcPr>
            <w:tcW w:w="2551" w:type="dxa"/>
            <w:vAlign w:val="center"/>
          </w:tcPr>
          <w:p>
            <w:pPr>
              <w:pStyle w:val="16"/>
            </w:pPr>
            <w:r>
              <w:t>197.70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2573.58</w:t>
            </w:r>
          </w:p>
        </w:tc>
        <w:tc>
          <w:tcPr>
            <w:tcW w:w="2551" w:type="dxa"/>
            <w:vAlign w:val="center"/>
          </w:tcPr>
          <w:p>
            <w:pPr>
              <w:pStyle w:val="12"/>
            </w:pPr>
            <w:r>
              <w:t>2573.58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837.49</w:t>
            </w:r>
          </w:p>
        </w:tc>
        <w:tc>
          <w:tcPr>
            <w:tcW w:w="2551" w:type="dxa"/>
            <w:vAlign w:val="center"/>
          </w:tcPr>
          <w:p>
            <w:pPr>
              <w:pStyle w:val="12"/>
            </w:pPr>
            <w:r>
              <w:t>837.49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246.32</w:t>
            </w:r>
          </w:p>
        </w:tc>
        <w:tc>
          <w:tcPr>
            <w:tcW w:w="2551" w:type="dxa"/>
            <w:vAlign w:val="center"/>
          </w:tcPr>
          <w:p>
            <w:pPr>
              <w:pStyle w:val="12"/>
            </w:pPr>
            <w:r>
              <w:t>246.32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67.41</w:t>
            </w:r>
          </w:p>
        </w:tc>
        <w:tc>
          <w:tcPr>
            <w:tcW w:w="2551" w:type="dxa"/>
            <w:vAlign w:val="center"/>
          </w:tcPr>
          <w:p>
            <w:pPr>
              <w:pStyle w:val="12"/>
            </w:pPr>
            <w:r>
              <w:t>67.41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792.50</w:t>
            </w:r>
          </w:p>
        </w:tc>
        <w:tc>
          <w:tcPr>
            <w:tcW w:w="2551" w:type="dxa"/>
            <w:vAlign w:val="center"/>
          </w:tcPr>
          <w:p>
            <w:pPr>
              <w:pStyle w:val="12"/>
            </w:pPr>
            <w:r>
              <w:t>792.50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261.16</w:t>
            </w:r>
          </w:p>
        </w:tc>
        <w:tc>
          <w:tcPr>
            <w:tcW w:w="2551" w:type="dxa"/>
            <w:vAlign w:val="center"/>
          </w:tcPr>
          <w:p>
            <w:pPr>
              <w:pStyle w:val="12"/>
            </w:pPr>
            <w:r>
              <w:t>261.16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13.24</w:t>
            </w:r>
          </w:p>
        </w:tc>
        <w:tc>
          <w:tcPr>
            <w:tcW w:w="2551" w:type="dxa"/>
            <w:vAlign w:val="center"/>
          </w:tcPr>
          <w:p>
            <w:pPr>
              <w:pStyle w:val="12"/>
            </w:pPr>
            <w:r>
              <w:t>13.24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115.21</w:t>
            </w:r>
          </w:p>
        </w:tc>
        <w:tc>
          <w:tcPr>
            <w:tcW w:w="2551" w:type="dxa"/>
            <w:vAlign w:val="center"/>
          </w:tcPr>
          <w:p>
            <w:pPr>
              <w:pStyle w:val="12"/>
            </w:pPr>
            <w:r>
              <w:t>115.21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14.12</w:t>
            </w:r>
          </w:p>
        </w:tc>
        <w:tc>
          <w:tcPr>
            <w:tcW w:w="2551" w:type="dxa"/>
            <w:vAlign w:val="center"/>
          </w:tcPr>
          <w:p>
            <w:pPr>
              <w:pStyle w:val="12"/>
            </w:pPr>
            <w:r>
              <w:t>14.12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16.62</w:t>
            </w:r>
          </w:p>
        </w:tc>
        <w:tc>
          <w:tcPr>
            <w:tcW w:w="2551" w:type="dxa"/>
            <w:vAlign w:val="center"/>
          </w:tcPr>
          <w:p>
            <w:pPr>
              <w:pStyle w:val="12"/>
            </w:pPr>
            <w:r>
              <w:t>16.62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209.51</w:t>
            </w:r>
          </w:p>
        </w:tc>
        <w:tc>
          <w:tcPr>
            <w:tcW w:w="2551" w:type="dxa"/>
            <w:vAlign w:val="center"/>
          </w:tcPr>
          <w:p>
            <w:pPr>
              <w:pStyle w:val="12"/>
            </w:pPr>
            <w:r>
              <w:t>209.51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197.70</w:t>
            </w:r>
          </w:p>
        </w:tc>
        <w:tc>
          <w:tcPr>
            <w:tcW w:w="2551" w:type="dxa"/>
            <w:vAlign w:val="center"/>
          </w:tcPr>
          <w:p>
            <w:pPr>
              <w:pStyle w:val="12"/>
            </w:pPr>
          </w:p>
        </w:tc>
        <w:tc>
          <w:tcPr>
            <w:tcW w:w="2551" w:type="dxa"/>
            <w:vAlign w:val="center"/>
          </w:tcPr>
          <w:p>
            <w:pPr>
              <w:pStyle w:val="12"/>
            </w:pPr>
            <w:r>
              <w:t>197.70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44.90</w:t>
            </w:r>
          </w:p>
        </w:tc>
        <w:tc>
          <w:tcPr>
            <w:tcW w:w="2551" w:type="dxa"/>
            <w:vAlign w:val="center"/>
          </w:tcPr>
          <w:p>
            <w:pPr>
              <w:pStyle w:val="12"/>
            </w:pPr>
          </w:p>
        </w:tc>
        <w:tc>
          <w:tcPr>
            <w:tcW w:w="2551" w:type="dxa"/>
            <w:vAlign w:val="center"/>
          </w:tcPr>
          <w:p>
            <w:pPr>
              <w:pStyle w:val="12"/>
            </w:pPr>
            <w:r>
              <w:t>44.90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23.24</w:t>
            </w:r>
          </w:p>
        </w:tc>
        <w:tc>
          <w:tcPr>
            <w:tcW w:w="2551" w:type="dxa"/>
            <w:vAlign w:val="center"/>
          </w:tcPr>
          <w:p>
            <w:pPr>
              <w:pStyle w:val="12"/>
            </w:pPr>
          </w:p>
        </w:tc>
        <w:tc>
          <w:tcPr>
            <w:tcW w:w="2551" w:type="dxa"/>
            <w:vAlign w:val="center"/>
          </w:tcPr>
          <w:p>
            <w:pPr>
              <w:pStyle w:val="12"/>
            </w:pPr>
            <w:r>
              <w:t>23.24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14.54</w:t>
            </w:r>
          </w:p>
        </w:tc>
        <w:tc>
          <w:tcPr>
            <w:tcW w:w="2551" w:type="dxa"/>
            <w:vAlign w:val="center"/>
          </w:tcPr>
          <w:p>
            <w:pPr>
              <w:pStyle w:val="12"/>
            </w:pPr>
          </w:p>
        </w:tc>
        <w:tc>
          <w:tcPr>
            <w:tcW w:w="2551" w:type="dxa"/>
            <w:vAlign w:val="center"/>
          </w:tcPr>
          <w:p>
            <w:pPr>
              <w:pStyle w:val="12"/>
            </w:pPr>
            <w:r>
              <w:t>14.54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21.00</w:t>
            </w:r>
          </w:p>
        </w:tc>
        <w:tc>
          <w:tcPr>
            <w:tcW w:w="2551" w:type="dxa"/>
            <w:vAlign w:val="center"/>
          </w:tcPr>
          <w:p>
            <w:pPr>
              <w:pStyle w:val="12"/>
            </w:pPr>
          </w:p>
        </w:tc>
        <w:tc>
          <w:tcPr>
            <w:tcW w:w="2551" w:type="dxa"/>
            <w:vAlign w:val="center"/>
          </w:tcPr>
          <w:p>
            <w:pPr>
              <w:pStyle w:val="12"/>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2.48</w:t>
            </w:r>
          </w:p>
        </w:tc>
        <w:tc>
          <w:tcPr>
            <w:tcW w:w="2551" w:type="dxa"/>
            <w:vAlign w:val="center"/>
          </w:tcPr>
          <w:p>
            <w:pPr>
              <w:pStyle w:val="12"/>
            </w:pPr>
          </w:p>
        </w:tc>
        <w:tc>
          <w:tcPr>
            <w:tcW w:w="2551" w:type="dxa"/>
            <w:vAlign w:val="center"/>
          </w:tcPr>
          <w:p>
            <w:pPr>
              <w:pStyle w:val="12"/>
            </w:pPr>
            <w:r>
              <w:t>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16.93</w:t>
            </w:r>
          </w:p>
        </w:tc>
        <w:tc>
          <w:tcPr>
            <w:tcW w:w="2551" w:type="dxa"/>
            <w:vAlign w:val="center"/>
          </w:tcPr>
          <w:p>
            <w:pPr>
              <w:pStyle w:val="12"/>
            </w:pPr>
          </w:p>
        </w:tc>
        <w:tc>
          <w:tcPr>
            <w:tcW w:w="2551" w:type="dxa"/>
            <w:vAlign w:val="center"/>
          </w:tcPr>
          <w:p>
            <w:pPr>
              <w:pStyle w:val="12"/>
            </w:pPr>
            <w:r>
              <w:t>16.93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19.83</w:t>
            </w:r>
          </w:p>
        </w:tc>
        <w:tc>
          <w:tcPr>
            <w:tcW w:w="2551" w:type="dxa"/>
            <w:vAlign w:val="center"/>
          </w:tcPr>
          <w:p>
            <w:pPr>
              <w:pStyle w:val="12"/>
            </w:pPr>
          </w:p>
        </w:tc>
        <w:tc>
          <w:tcPr>
            <w:tcW w:w="2551" w:type="dxa"/>
            <w:vAlign w:val="center"/>
          </w:tcPr>
          <w:p>
            <w:pPr>
              <w:pStyle w:val="12"/>
            </w:pPr>
            <w:r>
              <w:t>19.83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16.80</w:t>
            </w:r>
          </w:p>
        </w:tc>
        <w:tc>
          <w:tcPr>
            <w:tcW w:w="2551" w:type="dxa"/>
            <w:vAlign w:val="center"/>
          </w:tcPr>
          <w:p>
            <w:pPr>
              <w:pStyle w:val="12"/>
            </w:pPr>
          </w:p>
        </w:tc>
        <w:tc>
          <w:tcPr>
            <w:tcW w:w="2551" w:type="dxa"/>
            <w:vAlign w:val="center"/>
          </w:tcPr>
          <w:p>
            <w:pPr>
              <w:pStyle w:val="12"/>
            </w:pPr>
            <w:r>
              <w:t>16.80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24.56</w:t>
            </w:r>
          </w:p>
        </w:tc>
        <w:tc>
          <w:tcPr>
            <w:tcW w:w="2551" w:type="dxa"/>
            <w:vAlign w:val="center"/>
          </w:tcPr>
          <w:p>
            <w:pPr>
              <w:pStyle w:val="12"/>
            </w:pPr>
          </w:p>
        </w:tc>
        <w:tc>
          <w:tcPr>
            <w:tcW w:w="2551" w:type="dxa"/>
            <w:vAlign w:val="center"/>
          </w:tcPr>
          <w:p>
            <w:pPr>
              <w:pStyle w:val="12"/>
            </w:pPr>
            <w:r>
              <w:t>24.56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11.42</w:t>
            </w:r>
          </w:p>
        </w:tc>
        <w:tc>
          <w:tcPr>
            <w:tcW w:w="2551" w:type="dxa"/>
            <w:vAlign w:val="center"/>
          </w:tcPr>
          <w:p>
            <w:pPr>
              <w:pStyle w:val="12"/>
            </w:pPr>
          </w:p>
        </w:tc>
        <w:tc>
          <w:tcPr>
            <w:tcW w:w="2551" w:type="dxa"/>
            <w:vAlign w:val="center"/>
          </w:tcPr>
          <w:p>
            <w:pPr>
              <w:pStyle w:val="12"/>
            </w:pPr>
            <w:r>
              <w:t>11.42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190.10</w:t>
            </w:r>
          </w:p>
        </w:tc>
        <w:tc>
          <w:tcPr>
            <w:tcW w:w="2551" w:type="dxa"/>
            <w:vAlign w:val="center"/>
          </w:tcPr>
          <w:p>
            <w:pPr>
              <w:pStyle w:val="12"/>
            </w:pPr>
            <w:r>
              <w:t>190.10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76.54</w:t>
            </w:r>
          </w:p>
        </w:tc>
        <w:tc>
          <w:tcPr>
            <w:tcW w:w="2551" w:type="dxa"/>
            <w:vAlign w:val="center"/>
          </w:tcPr>
          <w:p>
            <w:pPr>
              <w:pStyle w:val="12"/>
            </w:pPr>
            <w:r>
              <w:t>76.54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103.24</w:t>
            </w:r>
          </w:p>
        </w:tc>
        <w:tc>
          <w:tcPr>
            <w:tcW w:w="2551" w:type="dxa"/>
            <w:vAlign w:val="center"/>
          </w:tcPr>
          <w:p>
            <w:pPr>
              <w:pStyle w:val="12"/>
            </w:pPr>
            <w:r>
              <w:t>103.24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9.24</w:t>
            </w:r>
          </w:p>
        </w:tc>
        <w:tc>
          <w:tcPr>
            <w:tcW w:w="2551" w:type="dxa"/>
            <w:vAlign w:val="center"/>
          </w:tcPr>
          <w:p>
            <w:pPr>
              <w:pStyle w:val="12"/>
            </w:pPr>
            <w:r>
              <w:t>9.24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1.08</w:t>
            </w:r>
          </w:p>
        </w:tc>
        <w:tc>
          <w:tcPr>
            <w:tcW w:w="2551" w:type="dxa"/>
            <w:vAlign w:val="center"/>
          </w:tcPr>
          <w:p>
            <w:pPr>
              <w:pStyle w:val="12"/>
            </w:pPr>
            <w:r>
              <w:t>1.08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474承德市城市管理综合行政执法局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3071.75</w:t>
            </w:r>
          </w:p>
        </w:tc>
        <w:tc>
          <w:tcPr>
            <w:tcW w:w="2551" w:type="dxa"/>
            <w:vAlign w:val="center"/>
          </w:tcPr>
          <w:p>
            <w:pPr>
              <w:pStyle w:val="16"/>
            </w:pPr>
          </w:p>
        </w:tc>
        <w:tc>
          <w:tcPr>
            <w:tcW w:w="2551" w:type="dxa"/>
            <w:vAlign w:val="center"/>
          </w:tcPr>
          <w:p>
            <w:pPr>
              <w:pStyle w:val="16"/>
            </w:pPr>
            <w:r>
              <w:t>3071.75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1950.00</w:t>
            </w:r>
          </w:p>
        </w:tc>
        <w:tc>
          <w:tcPr>
            <w:tcW w:w="2551" w:type="dxa"/>
            <w:vAlign w:val="center"/>
          </w:tcPr>
          <w:p>
            <w:pPr>
              <w:pStyle w:val="12"/>
            </w:pPr>
          </w:p>
        </w:tc>
        <w:tc>
          <w:tcPr>
            <w:tcW w:w="2551" w:type="dxa"/>
            <w:vAlign w:val="center"/>
          </w:tcPr>
          <w:p>
            <w:pPr>
              <w:pStyle w:val="12"/>
            </w:pPr>
            <w:r>
              <w:t>1950.00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21198</w:t>
            </w:r>
          </w:p>
        </w:tc>
        <w:tc>
          <w:tcPr>
            <w:tcW w:w="4535" w:type="dxa"/>
            <w:vAlign w:val="center"/>
          </w:tcPr>
          <w:p>
            <w:pPr>
              <w:pStyle w:val="13"/>
            </w:pPr>
            <w:r>
              <w:t>超长期特别国债安排的支出</w:t>
            </w:r>
          </w:p>
        </w:tc>
        <w:tc>
          <w:tcPr>
            <w:tcW w:w="2551" w:type="dxa"/>
            <w:vAlign w:val="center"/>
          </w:tcPr>
          <w:p>
            <w:pPr>
              <w:pStyle w:val="12"/>
            </w:pPr>
            <w:r>
              <w:t>1950.00</w:t>
            </w:r>
          </w:p>
        </w:tc>
        <w:tc>
          <w:tcPr>
            <w:tcW w:w="2551" w:type="dxa"/>
            <w:vAlign w:val="center"/>
          </w:tcPr>
          <w:p>
            <w:pPr>
              <w:pStyle w:val="12"/>
            </w:pPr>
          </w:p>
        </w:tc>
        <w:tc>
          <w:tcPr>
            <w:tcW w:w="2551" w:type="dxa"/>
            <w:vAlign w:val="center"/>
          </w:tcPr>
          <w:p>
            <w:pPr>
              <w:pStyle w:val="12"/>
            </w:pPr>
            <w:r>
              <w:t>1950.00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2119802</w:t>
            </w:r>
          </w:p>
        </w:tc>
        <w:tc>
          <w:tcPr>
            <w:tcW w:w="4535" w:type="dxa"/>
            <w:vAlign w:val="center"/>
          </w:tcPr>
          <w:p>
            <w:pPr>
              <w:pStyle w:val="13"/>
            </w:pPr>
            <w:r>
              <w:t>应对气候变化</w:t>
            </w:r>
          </w:p>
        </w:tc>
        <w:tc>
          <w:tcPr>
            <w:tcW w:w="2551" w:type="dxa"/>
            <w:vAlign w:val="center"/>
          </w:tcPr>
          <w:p>
            <w:pPr>
              <w:pStyle w:val="12"/>
            </w:pPr>
            <w:r>
              <w:t>1950.00</w:t>
            </w:r>
          </w:p>
        </w:tc>
        <w:tc>
          <w:tcPr>
            <w:tcW w:w="2551" w:type="dxa"/>
            <w:vAlign w:val="center"/>
          </w:tcPr>
          <w:p>
            <w:pPr>
              <w:pStyle w:val="12"/>
            </w:pPr>
          </w:p>
        </w:tc>
        <w:tc>
          <w:tcPr>
            <w:tcW w:w="2551" w:type="dxa"/>
            <w:vAlign w:val="center"/>
          </w:tcPr>
          <w:p>
            <w:pPr>
              <w:pStyle w:val="12"/>
            </w:pPr>
            <w:r>
              <w:t>1950.00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1121.75</w:t>
            </w:r>
          </w:p>
        </w:tc>
        <w:tc>
          <w:tcPr>
            <w:tcW w:w="2551" w:type="dxa"/>
            <w:vAlign w:val="center"/>
          </w:tcPr>
          <w:p>
            <w:pPr>
              <w:pStyle w:val="12"/>
            </w:pPr>
          </w:p>
        </w:tc>
        <w:tc>
          <w:tcPr>
            <w:tcW w:w="2551" w:type="dxa"/>
            <w:vAlign w:val="center"/>
          </w:tcPr>
          <w:p>
            <w:pPr>
              <w:pStyle w:val="12"/>
            </w:pPr>
            <w:r>
              <w:t>1121.75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21213</w:t>
            </w:r>
          </w:p>
        </w:tc>
        <w:tc>
          <w:tcPr>
            <w:tcW w:w="4535" w:type="dxa"/>
            <w:vAlign w:val="center"/>
          </w:tcPr>
          <w:p>
            <w:pPr>
              <w:pStyle w:val="13"/>
            </w:pPr>
            <w:r>
              <w:t>城市基础设施配套费安排的支出</w:t>
            </w:r>
          </w:p>
        </w:tc>
        <w:tc>
          <w:tcPr>
            <w:tcW w:w="2551" w:type="dxa"/>
            <w:vAlign w:val="center"/>
          </w:tcPr>
          <w:p>
            <w:pPr>
              <w:pStyle w:val="12"/>
            </w:pPr>
            <w:r>
              <w:t>1121.75</w:t>
            </w:r>
          </w:p>
        </w:tc>
        <w:tc>
          <w:tcPr>
            <w:tcW w:w="2551" w:type="dxa"/>
            <w:vAlign w:val="center"/>
          </w:tcPr>
          <w:p>
            <w:pPr>
              <w:pStyle w:val="12"/>
            </w:pPr>
          </w:p>
        </w:tc>
        <w:tc>
          <w:tcPr>
            <w:tcW w:w="2551" w:type="dxa"/>
            <w:vAlign w:val="center"/>
          </w:tcPr>
          <w:p>
            <w:pPr>
              <w:pStyle w:val="12"/>
            </w:pPr>
            <w:r>
              <w:t>1121.75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2121301</w:t>
            </w:r>
          </w:p>
        </w:tc>
        <w:tc>
          <w:tcPr>
            <w:tcW w:w="4535" w:type="dxa"/>
            <w:vAlign w:val="center"/>
          </w:tcPr>
          <w:p>
            <w:pPr>
              <w:pStyle w:val="13"/>
            </w:pPr>
            <w:r>
              <w:t>城市公共设施</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2121302</w:t>
            </w:r>
          </w:p>
        </w:tc>
        <w:tc>
          <w:tcPr>
            <w:tcW w:w="4535" w:type="dxa"/>
            <w:vAlign w:val="center"/>
          </w:tcPr>
          <w:p>
            <w:pPr>
              <w:pStyle w:val="13"/>
            </w:pPr>
            <w:r>
              <w:t>城市环境卫生</w:t>
            </w:r>
          </w:p>
        </w:tc>
        <w:tc>
          <w:tcPr>
            <w:tcW w:w="2551" w:type="dxa"/>
            <w:vAlign w:val="center"/>
          </w:tcPr>
          <w:p>
            <w:pPr>
              <w:pStyle w:val="12"/>
            </w:pPr>
            <w:r>
              <w:t>1096.75</w:t>
            </w:r>
          </w:p>
        </w:tc>
        <w:tc>
          <w:tcPr>
            <w:tcW w:w="2551" w:type="dxa"/>
            <w:vAlign w:val="center"/>
          </w:tcPr>
          <w:p>
            <w:pPr>
              <w:pStyle w:val="12"/>
            </w:pPr>
          </w:p>
        </w:tc>
        <w:tc>
          <w:tcPr>
            <w:tcW w:w="2551" w:type="dxa"/>
            <w:vAlign w:val="center"/>
          </w:tcPr>
          <w:p>
            <w:pPr>
              <w:pStyle w:val="12"/>
            </w:pPr>
            <w:r>
              <w:t>1096.75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474承德市城市管理综合行政执法局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474承德市城市管理综合行政执法局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1</w:t>
            </w:r>
          </w:p>
        </w:tc>
        <w:tc>
          <w:tcPr>
            <w:tcW w:w="3798" w:type="dxa"/>
            <w:vAlign w:val="center"/>
          </w:tcPr>
          <w:p>
            <w:pPr>
              <w:pStyle w:val="13"/>
            </w:pPr>
            <w:r>
              <w:t>“三公”经费小计</w:t>
            </w:r>
          </w:p>
        </w:tc>
        <w:tc>
          <w:tcPr>
            <w:tcW w:w="2381" w:type="dxa"/>
            <w:vAlign w:val="center"/>
          </w:tcPr>
          <w:p>
            <w:pPr>
              <w:pStyle w:val="12"/>
            </w:pPr>
            <w:r>
              <w:t>26.16</w:t>
            </w:r>
          </w:p>
        </w:tc>
        <w:tc>
          <w:tcPr>
            <w:tcW w:w="2381" w:type="dxa"/>
            <w:vAlign w:val="center"/>
          </w:tcPr>
          <w:p>
            <w:pPr>
              <w:pStyle w:val="12"/>
            </w:pPr>
            <w:r>
              <w:t>26.16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3</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5</w:t>
            </w:r>
          </w:p>
        </w:tc>
        <w:tc>
          <w:tcPr>
            <w:tcW w:w="3798" w:type="dxa"/>
            <w:vAlign w:val="center"/>
          </w:tcPr>
          <w:p>
            <w:pPr>
              <w:pStyle w:val="13"/>
            </w:pPr>
            <w:r>
              <w:t>二、公务用车购置及运维费</w:t>
            </w:r>
          </w:p>
        </w:tc>
        <w:tc>
          <w:tcPr>
            <w:tcW w:w="2381" w:type="dxa"/>
            <w:vAlign w:val="center"/>
          </w:tcPr>
          <w:p>
            <w:pPr>
              <w:pStyle w:val="12"/>
            </w:pPr>
            <w:r>
              <w:t>23.68</w:t>
            </w:r>
          </w:p>
        </w:tc>
        <w:tc>
          <w:tcPr>
            <w:tcW w:w="2381" w:type="dxa"/>
            <w:vAlign w:val="center"/>
          </w:tcPr>
          <w:p>
            <w:pPr>
              <w:pStyle w:val="12"/>
            </w:pPr>
            <w:r>
              <w:t>23.68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7</w:t>
            </w:r>
          </w:p>
        </w:tc>
        <w:tc>
          <w:tcPr>
            <w:tcW w:w="3798" w:type="dxa"/>
            <w:vAlign w:val="center"/>
          </w:tcPr>
          <w:p>
            <w:pPr>
              <w:pStyle w:val="13"/>
            </w:pPr>
            <w:r>
              <w:t xml:space="preserve">          公务用车运行维护费</w:t>
            </w:r>
          </w:p>
        </w:tc>
        <w:tc>
          <w:tcPr>
            <w:tcW w:w="2381" w:type="dxa"/>
            <w:vAlign w:val="center"/>
          </w:tcPr>
          <w:p>
            <w:pPr>
              <w:pStyle w:val="12"/>
            </w:pPr>
            <w:r>
              <w:t>23.68</w:t>
            </w:r>
          </w:p>
        </w:tc>
        <w:tc>
          <w:tcPr>
            <w:tcW w:w="2381" w:type="dxa"/>
            <w:vAlign w:val="center"/>
          </w:tcPr>
          <w:p>
            <w:pPr>
              <w:pStyle w:val="12"/>
            </w:pPr>
            <w:r>
              <w:t>23.68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8</w:t>
            </w:r>
          </w:p>
        </w:tc>
        <w:tc>
          <w:tcPr>
            <w:tcW w:w="3798" w:type="dxa"/>
            <w:vAlign w:val="center"/>
          </w:tcPr>
          <w:p>
            <w:pPr>
              <w:pStyle w:val="13"/>
            </w:pPr>
            <w:r>
              <w:t>三、公务接待费</w:t>
            </w:r>
          </w:p>
        </w:tc>
        <w:tc>
          <w:tcPr>
            <w:tcW w:w="2381" w:type="dxa"/>
            <w:vAlign w:val="center"/>
          </w:tcPr>
          <w:p>
            <w:pPr>
              <w:pStyle w:val="12"/>
            </w:pPr>
            <w:r>
              <w:t>2.48</w:t>
            </w:r>
          </w:p>
        </w:tc>
        <w:tc>
          <w:tcPr>
            <w:tcW w:w="2381" w:type="dxa"/>
            <w:vAlign w:val="center"/>
          </w:tcPr>
          <w:p>
            <w:pPr>
              <w:pStyle w:val="12"/>
            </w:pPr>
            <w:r>
              <w:t>2.48</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承德市城市管理综合行政执法局2025年部门预算信息公开情况说明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按照《中华人民共和国预算法》、《地方预决算公开操作规程》和《关于进一步推进预算公开工作的实施意见》规定，现将承德市城市管理综合行政执法局2025年部门预算公开如下：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落实国家和省关于城市管理和综合执法工作的法律、法规、规章及相关政策；统筹全市城市管理和综合执法的改革与发展；拟定全市城市管理和综合执法发展规划，制定政策、措施，并组织实施；制定全市城市管理和综合执法工作年度计划；负责与上级主管部门业务衔接和对接。</w:t>
      </w:r>
    </w:p>
    <w:p>
      <w:pPr>
        <w:pStyle w:val="18"/>
      </w:pPr>
      <w:r>
        <w:t>(二)承担城市管理的相关责任。主要对城市市政管理、环境管理、交通管理、应急管理和城市规划实施管理等。具体负责城市道路、桥梁、隧道维护，城市燃气、供热、供水、排水、生活污水、景观照明市政公用设施运行管理的全部工作。</w:t>
      </w:r>
    </w:p>
    <w:p>
      <w:pPr>
        <w:pStyle w:val="18"/>
      </w:pPr>
      <w:r>
        <w:t>(三)承担城市管理综合执法的责任。行使住房城乡建设领域法律、法规、规章规定的全部行政处罚权；城区内环境保护管理方面社会生活噪声污染、建筑施工噪声污染、建筑施工扬尘污染、餐饮服务业油烟污染、露天烧烤污染、焚烧沥青塑料垃圾等烟尘和恶臭污染、露天焚烧秸秆落叶等烟尘污染、燃放烟花爆竹污染等的行政处罚权；工商管理方面城区违规设置户外广告的行政处罚权；交通管理方面违法停放车辆等的行政处罚权；水务管理方面向城市河道倾倒废弃物和垃圾及违规取土、城市河道违法建筑物拆除等的行政处罚权；食品药品监管方面城区户外违法回收贩卖药品等行政处罚权。可实施与上述范围内法律、法规规定的行政处罚权有关的行政强制措施。</w:t>
      </w:r>
    </w:p>
    <w:p>
      <w:pPr>
        <w:pStyle w:val="18"/>
      </w:pPr>
      <w:r>
        <w:t>(四)指导城市环境卫生管理方面的工作。制定城市环境卫生工作的中长期规划和年度计划、方案，并组织实施；制定城市环境卫生管理标准、环境卫生作业标准和检查评比办法；对城市环境卫生进行指导协调、督导检查、目标考核；指导城市生活垃叛、建筑垃圾分类化、减量化、资源化、无害化处理工作；负责抓好城市道路扬尘污染防控工作；负责市本级财政投资建设的环境卫生设施（公厕、垃圾转运站、生活和建筑垃圾处理场等）的规划申报、组织实施、资产监管和处置核准；负责全市环卫系统的统计、培训工作</w:t>
      </w:r>
    </w:p>
    <w:p>
      <w:pPr>
        <w:pStyle w:val="18"/>
      </w:pPr>
      <w:r>
        <w:t>(五)负责城市园林绿化行业管理工作。行使园林绿化方面法律法规规章规定的行政处罚权；指导各县（市、区）开展园林绿化工作；组织开展国家、省、市园林绿化创建工作；负责编制市中心区绿地系统规划，制定城市园林绿化发展规划和年度计划，并组织实施；督导“绿线”和“绿色图章”的落实；负责城镇规划区范围内的古树名木保护工作；负责组织园林科研工作；负责市政府确定的绿化工程建设和公园绿地养护管理工作；负责各县(市、区)城市绿化工作的考核；负责城市异地绿化补偿费的收缴工作。</w:t>
      </w:r>
    </w:p>
    <w:p>
      <w:pPr>
        <w:pStyle w:val="18"/>
      </w:pPr>
      <w:r>
        <w:t>(六)负责编制城市照明规划，制定城市照明年度计划并组织实施，负责城市户外夜景照明管理。</w:t>
      </w:r>
    </w:p>
    <w:p>
      <w:pPr>
        <w:pStyle w:val="18"/>
      </w:pPr>
      <w:r>
        <w:t>(七)负责户外广告工作，编制市中心区户外广告规划，规范管理户外广告、牌匾设置工作，依法查处违章设置户外广告、牌匾行为。</w:t>
      </w:r>
    </w:p>
    <w:p>
      <w:pPr>
        <w:pStyle w:val="18"/>
      </w:pPr>
      <w:r>
        <w:t>(八)负责市级数字化城市管理信息平台的建设、管理工作，利用市级数字化城市管理信息平台，对全市城市管理各部件进行监督检查指导。</w:t>
      </w:r>
    </w:p>
    <w:p>
      <w:pPr>
        <w:pStyle w:val="18"/>
      </w:pPr>
      <w:r>
        <w:t>(九)负责双桥区、双滦区、承德高新区规划审批后建设项目实施中的跟踪检查工作，查处不按规划审批要求建设的违法行为。</w:t>
      </w:r>
    </w:p>
    <w:p>
      <w:pPr>
        <w:pStyle w:val="18"/>
      </w:pPr>
      <w:r>
        <w:t>(十)负责双桥区、双滦区、承德高新区新建住宅小区配套设施交付使用验收的组织实施工作</w:t>
      </w:r>
    </w:p>
    <w:p>
      <w:pPr>
        <w:pStyle w:val="18"/>
      </w:pPr>
      <w:r>
        <w:t>(十一)受理各县（市、区）城市管理和行政处罚方面的行政复议；负责跨区域及重大复杂违法违规案件的查处。</w:t>
      </w:r>
    </w:p>
    <w:p>
      <w:pPr>
        <w:pStyle w:val="18"/>
      </w:pPr>
      <w:r>
        <w:t>(十二)负责对各县（市、区）城市管理和综合执法工作的指导、检查、督导、协调；负责行业数据、指标的统计汇总、分祈评价和整理上报工作；制定全市城市管理和综合执法工作的标准和考核办法，下达各县（市、区）、市直相关部门城市管理和综合执法年度目标任务，并组织考核，落实奖惩。</w:t>
      </w:r>
    </w:p>
    <w:p>
      <w:pPr>
        <w:pStyle w:val="18"/>
      </w:pPr>
      <w:r>
        <w:t>(十三)负责指导监督停车场建设管理工作；负责协调充电桩、通讯铁塔、电线杆设置工作。</w:t>
      </w:r>
    </w:p>
    <w:p>
      <w:pPr>
        <w:pStyle w:val="18"/>
      </w:pPr>
      <w:r>
        <w:t>(十四)负责市城市管理工作联席会议的组织、协调、督导等日常王作。</w:t>
      </w:r>
    </w:p>
    <w:p>
      <w:pPr>
        <w:pStyle w:val="18"/>
      </w:pPr>
      <w:r>
        <w:t>(十五)承办市委、市政府交办的其他事项。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承德市城市管理综合行政执法局本级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承德市城市管理综合行政执法支队</w:t>
            </w:r>
          </w:p>
        </w:tc>
        <w:tc>
          <w:tcPr>
            <w:tcW w:w="1843" w:type="dxa"/>
            <w:vAlign w:val="center"/>
          </w:tcPr>
          <w:p>
            <w:pPr>
              <w:pStyle w:val="14"/>
            </w:pPr>
            <w:r>
              <w:t>事业</w:t>
            </w:r>
          </w:p>
        </w:tc>
        <w:tc>
          <w:tcPr>
            <w:tcW w:w="2126" w:type="dxa"/>
            <w:vAlign w:val="center"/>
          </w:tcPr>
          <w:p>
            <w:pPr>
              <w:pStyle w:val="14"/>
            </w:pPr>
            <w:r>
              <w:t>副处（县）级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承德市</w:t>
            </w:r>
            <w:r>
              <w:rPr>
                <w:rFonts w:hint="eastAsia" w:ascii="方正书宋_GBK" w:hAnsi="方正书宋_GBK" w:eastAsia="方正书宋_GBK" w:cs="方正书宋_GBK"/>
                <w:sz w:val="21"/>
                <w:szCs w:val="24"/>
                <w:lang w:val="en-US" w:eastAsia="zh-CN" w:bidi="ar-SA"/>
              </w:rPr>
              <w:t>数字化城市管理指挥中心</w:t>
            </w:r>
          </w:p>
        </w:tc>
        <w:tc>
          <w:tcPr>
            <w:tcW w:w="1843" w:type="dxa"/>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事业</w:t>
            </w:r>
          </w:p>
        </w:tc>
        <w:tc>
          <w:tcPr>
            <w:tcW w:w="2126" w:type="dxa"/>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正科级</w:t>
            </w:r>
          </w:p>
        </w:tc>
        <w:tc>
          <w:tcPr>
            <w:tcW w:w="3827" w:type="dxa"/>
            <w:vAlign w:val="center"/>
          </w:tcPr>
          <w:p>
            <w:pPr>
              <w:spacing w:line="3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财政性资金基本保证</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pStyle w:val="19"/>
      </w:pPr>
      <w:r>
        <w:t>按照预算管理有关规定，目前部门预算的编制实行综合预算管理，即全部收入和支出都反映在预算中。承德市城市管理综合行政执法局机关及所属事业单位的收支包含在部门预算中。</w:t>
      </w:r>
    </w:p>
    <w:p>
      <w:pPr>
        <w:pStyle w:val="19"/>
      </w:pPr>
      <w:r>
        <w:t>1、收入说明</w:t>
      </w:r>
    </w:p>
    <w:p>
      <w:pPr>
        <w:pStyle w:val="19"/>
      </w:pPr>
      <w:r>
        <w:t>反映本部门当年全部收入。202</w:t>
      </w:r>
      <w:r>
        <w:rPr>
          <w:rFonts w:hint="eastAsia"/>
          <w:lang w:val="en-US" w:eastAsia="zh-CN"/>
        </w:rPr>
        <w:t>5</w:t>
      </w:r>
      <w:r>
        <w:t>年预算收入</w:t>
      </w:r>
      <w:r>
        <w:rPr>
          <w:rFonts w:hint="eastAsia"/>
        </w:rPr>
        <w:t>18690.27</w:t>
      </w:r>
      <w:r>
        <w:t>万元，其中：一般公共预算收入</w:t>
      </w:r>
      <w:r>
        <w:rPr>
          <w:rFonts w:hint="eastAsia"/>
        </w:rPr>
        <w:t>4445.74</w:t>
      </w:r>
      <w:r>
        <w:t>万元，基金预算收入</w:t>
      </w:r>
      <w:r>
        <w:rPr>
          <w:rFonts w:hint="eastAsia"/>
        </w:rPr>
        <w:t>817.35</w:t>
      </w:r>
      <w:r>
        <w:t>万元，国有资本经营预算收入0.00万元，财政专户核拨收入0.00万元，单位资金收入0.00万元，上年结转结余</w:t>
      </w:r>
      <w:r>
        <w:rPr>
          <w:rFonts w:hint="eastAsia"/>
        </w:rPr>
        <w:t>13427.18</w:t>
      </w:r>
      <w:r>
        <w:t>万元。</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收支预算总表支出栏、基本支出表、项目支出表按经济分类和支出功能分类科目编制，反映承德市城市管理综合行政执法局年度部门预算中支出预算的总体情况。202</w:t>
      </w:r>
      <w:r>
        <w:rPr>
          <w:rFonts w:hint="eastAsia"/>
          <w:lang w:val="en-US" w:eastAsia="zh-CN"/>
        </w:rPr>
        <w:t>5</w:t>
      </w:r>
      <w:r>
        <w:t>年支出预算</w:t>
      </w:r>
      <w:r>
        <w:rPr>
          <w:rFonts w:hint="eastAsia"/>
        </w:rPr>
        <w:t>18690.27</w:t>
      </w:r>
      <w:r>
        <w:t>万元，其中基本支出</w:t>
      </w:r>
      <w:r>
        <w:rPr>
          <w:rFonts w:hint="eastAsia"/>
        </w:rPr>
        <w:t>2961.38</w:t>
      </w:r>
      <w:r>
        <w:t>万元，包括人员经费</w:t>
      </w:r>
      <w:r>
        <w:rPr>
          <w:rFonts w:hint="eastAsia"/>
        </w:rPr>
        <w:t>2763.68</w:t>
      </w:r>
      <w:r>
        <w:t>万元和日常公用经费</w:t>
      </w:r>
      <w:r>
        <w:rPr>
          <w:rFonts w:hint="eastAsia"/>
        </w:rPr>
        <w:t>197.70</w:t>
      </w:r>
      <w:r>
        <w:t>万元；项目支出</w:t>
      </w:r>
      <w:r>
        <w:rPr>
          <w:rFonts w:hint="eastAsia"/>
        </w:rPr>
        <w:t>15728.89</w:t>
      </w:r>
      <w:r>
        <w:t>万元，主要为节能环保支出</w:t>
      </w:r>
      <w:r>
        <w:rPr>
          <w:rFonts w:hint="eastAsia"/>
        </w:rPr>
        <w:t>1950.00</w:t>
      </w:r>
      <w:r>
        <w:t>万元，城乡社区支出</w:t>
      </w:r>
      <w:r>
        <w:rPr>
          <w:rFonts w:hint="eastAsia"/>
        </w:rPr>
        <w:t>1</w:t>
      </w:r>
      <w:r>
        <w:rPr>
          <w:rFonts w:hint="eastAsia"/>
          <w:lang w:val="en-US" w:eastAsia="zh-CN"/>
        </w:rPr>
        <w:t>3778.89</w:t>
      </w:r>
      <w:r>
        <w:t>万元</w:t>
      </w:r>
      <w:r>
        <w:rPr>
          <w:rFonts w:hint="eastAsia"/>
          <w:lang w:eastAsia="zh-CN"/>
        </w:rPr>
        <w:t>。</w:t>
      </w:r>
    </w:p>
    <w:p>
      <w:pPr>
        <w:pStyle w:val="19"/>
      </w:pPr>
      <w:r>
        <w:t>3、比上年增减情况</w:t>
      </w:r>
    </w:p>
    <w:p>
      <w:pPr>
        <w:pStyle w:val="19"/>
      </w:pPr>
      <w:r>
        <w:t>202</w:t>
      </w:r>
      <w:r>
        <w:rPr>
          <w:rFonts w:hint="eastAsia"/>
          <w:lang w:val="en-US" w:eastAsia="zh-CN"/>
        </w:rPr>
        <w:t>5</w:t>
      </w:r>
      <w:r>
        <w:t>年预算收支安排</w:t>
      </w:r>
      <w:r>
        <w:rPr>
          <w:rFonts w:hint="eastAsia"/>
        </w:rPr>
        <w:t>18690.27</w:t>
      </w:r>
      <w:r>
        <w:t>万元，较202</w:t>
      </w:r>
      <w:r>
        <w:rPr>
          <w:rFonts w:hint="eastAsia"/>
          <w:lang w:val="en-US" w:eastAsia="zh-CN"/>
        </w:rPr>
        <w:t>4</w:t>
      </w:r>
      <w:r>
        <w:t>年预算减少</w:t>
      </w:r>
      <w:r>
        <w:rPr>
          <w:rFonts w:hint="eastAsia"/>
          <w:lang w:val="en-US" w:eastAsia="zh-CN"/>
        </w:rPr>
        <w:t>5465.40</w:t>
      </w:r>
      <w:r>
        <w:t>万元，其中：基本支出减少</w:t>
      </w:r>
      <w:r>
        <w:rPr>
          <w:rFonts w:hint="eastAsia"/>
          <w:lang w:val="en-US" w:eastAsia="zh-CN"/>
        </w:rPr>
        <w:t>5.29</w:t>
      </w:r>
      <w:r>
        <w:t>万元，主要为人员经费</w:t>
      </w:r>
      <w:r>
        <w:rPr>
          <w:rFonts w:hint="eastAsia"/>
          <w:lang w:eastAsia="zh-CN"/>
        </w:rPr>
        <w:t>增加</w:t>
      </w:r>
      <w:r>
        <w:t>支出</w:t>
      </w:r>
      <w:r>
        <w:rPr>
          <w:rFonts w:hint="eastAsia"/>
          <w:lang w:val="en-US" w:eastAsia="zh-CN"/>
        </w:rPr>
        <w:t>6.15</w:t>
      </w:r>
      <w:r>
        <w:t>万元，日常公用经费减少</w:t>
      </w:r>
      <w:r>
        <w:rPr>
          <w:rFonts w:hint="eastAsia"/>
          <w:lang w:val="en-US" w:eastAsia="zh-CN"/>
        </w:rPr>
        <w:t>11.44</w:t>
      </w:r>
      <w:r>
        <w:t>万元；项目支出减少</w:t>
      </w:r>
      <w:r>
        <w:rPr>
          <w:rFonts w:hint="eastAsia"/>
          <w:lang w:val="en-US" w:eastAsia="zh-CN"/>
        </w:rPr>
        <w:t>5470.69</w:t>
      </w:r>
      <w:r>
        <w:t>万元，主要为202</w:t>
      </w:r>
      <w:r>
        <w:rPr>
          <w:rFonts w:hint="eastAsia"/>
          <w:lang w:val="en-US" w:eastAsia="zh-CN"/>
        </w:rPr>
        <w:t>4</w:t>
      </w:r>
      <w:r>
        <w:t>年预算安排项目支出</w:t>
      </w:r>
      <w:r>
        <w:rPr>
          <w:rFonts w:hint="eastAsia"/>
          <w:lang w:eastAsia="zh-CN"/>
        </w:rPr>
        <w:t>结转到</w:t>
      </w:r>
      <w:r>
        <w:rPr>
          <w:rFonts w:hint="eastAsia"/>
          <w:lang w:val="en-US" w:eastAsia="zh-CN"/>
        </w:rPr>
        <w:t>2025年预算</w:t>
      </w:r>
      <w:r>
        <w:t>。</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left="640" w:leftChars="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年，我部门机关运行经费共计安排</w:t>
      </w:r>
      <w:r>
        <w:rPr>
          <w:rFonts w:hint="eastAsia" w:ascii="Times New Roman" w:hAnsi="Times New Roman" w:eastAsia="方正仿宋_GBK" w:cs="Times New Roman"/>
          <w:sz w:val="28"/>
          <w:szCs w:val="24"/>
          <w:lang w:val="en-US" w:eastAsia="uk-UA" w:bidi="ar-SA"/>
        </w:rPr>
        <w:t>197.70</w:t>
      </w:r>
      <w:r>
        <w:rPr>
          <w:rFonts w:ascii="Times New Roman" w:hAnsi="Times New Roman" w:eastAsia="方正仿宋_GBK" w:cs="Times New Roman"/>
          <w:sz w:val="28"/>
          <w:szCs w:val="24"/>
          <w:lang w:val="en-US" w:eastAsia="uk-UA" w:bidi="ar-SA"/>
        </w:rPr>
        <w:t>万元，主要用于日常维修、办公用房水电费、办公用房取暖费、</w:t>
      </w:r>
    </w:p>
    <w:p>
      <w:pPr>
        <w:numPr>
          <w:ilvl w:val="0"/>
          <w:numId w:val="0"/>
        </w:numPr>
        <w:spacing w:before="10" w:after="10" w:line="360" w:lineRule="auto"/>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5</w:t>
      </w:r>
      <w:r>
        <w:t>年，我部门财政拨款“三公”经费预算安排26.16万元，其中因公出国（境）费0.00万元；公务用车购置及运维费23.68万元（其中：公务用车购置费为0.00万元，公务用车运维费23.68万元)；公务接待费2.48万元。与202</w:t>
      </w:r>
      <w:r>
        <w:rPr>
          <w:rFonts w:hint="eastAsia"/>
          <w:lang w:val="en-US" w:eastAsia="zh-CN"/>
        </w:rPr>
        <w:t>4</w:t>
      </w:r>
      <w:r>
        <w:t>年相比减少</w:t>
      </w:r>
      <w:r>
        <w:rPr>
          <w:rFonts w:hint="eastAsia"/>
          <w:lang w:val="en-US" w:eastAsia="zh-CN"/>
        </w:rPr>
        <w:t>4.04</w:t>
      </w:r>
      <w:r>
        <w:t>万元，增减变化的主要原因是公务用车购置及运维费减少</w:t>
      </w:r>
      <w:r>
        <w:rPr>
          <w:rFonts w:hint="eastAsia"/>
          <w:lang w:val="en-US" w:eastAsia="zh-CN"/>
        </w:rPr>
        <w:t>3.90</w:t>
      </w:r>
      <w:r>
        <w:t>万元，公务接待费减少0.1</w:t>
      </w:r>
      <w:r>
        <w:rPr>
          <w:rFonts w:hint="eastAsia"/>
          <w:lang w:val="en-US" w:eastAsia="zh-CN"/>
        </w:rPr>
        <w:t>4</w:t>
      </w:r>
      <w:r>
        <w:t>万元。</w:t>
      </w:r>
    </w:p>
    <w:p>
      <w:pPr>
        <w:pStyle w:val="26"/>
        <w:rPr>
          <w:rFonts w:hint="eastAsia"/>
          <w:lang w:val="en-US" w:eastAsia="zh-CN"/>
        </w:rPr>
      </w:pPr>
      <w:r>
        <w:rPr>
          <w:rFonts w:hint="eastAsia"/>
          <w:lang w:val="en-US" w:eastAsia="zh-CN"/>
        </w:rPr>
        <w:t>具体支出情况如下：</w:t>
      </w:r>
    </w:p>
    <w:p>
      <w:pPr>
        <w:pStyle w:val="26"/>
        <w:numPr>
          <w:ilvl w:val="0"/>
          <w:numId w:val="2"/>
        </w:numPr>
        <w:rPr>
          <w:rFonts w:hint="eastAsia"/>
          <w:lang w:val="en-US" w:eastAsia="zh-CN"/>
        </w:rPr>
      </w:pPr>
      <w:r>
        <w:rPr>
          <w:rFonts w:hint="eastAsia"/>
          <w:lang w:val="en-US" w:eastAsia="zh-CN"/>
        </w:rPr>
        <w:t>因公出国（境）费0.00万元，与上年持平；</w:t>
      </w:r>
    </w:p>
    <w:p>
      <w:pPr>
        <w:pStyle w:val="26"/>
        <w:numPr>
          <w:ilvl w:val="0"/>
          <w:numId w:val="0"/>
        </w:numPr>
        <w:ind w:firstLine="560" w:firstLineChars="200"/>
        <w:rPr>
          <w:rFonts w:hint="default"/>
          <w:lang w:val="en-US" w:eastAsia="zh-CN"/>
        </w:rPr>
      </w:pPr>
      <w:r>
        <w:rPr>
          <w:rFonts w:hint="eastAsia"/>
          <w:lang w:eastAsia="zh-CN"/>
        </w:rPr>
        <w:t>（二）</w:t>
      </w:r>
      <w:r>
        <w:t>公务用车购置及运维费23.68万元</w:t>
      </w:r>
      <w:r>
        <w:rPr>
          <w:rFonts w:hint="eastAsia"/>
          <w:lang w:eastAsia="zh-CN"/>
        </w:rPr>
        <w:t>，</w:t>
      </w:r>
      <w:r>
        <w:rPr>
          <w:rFonts w:hint="eastAsia"/>
          <w:lang w:val="en-US" w:eastAsia="zh-CN"/>
        </w:rPr>
        <w:t>比上年减少3.90万元；</w:t>
      </w:r>
    </w:p>
    <w:p>
      <w:pPr>
        <w:pStyle w:val="26"/>
        <w:numPr>
          <w:ilvl w:val="0"/>
          <w:numId w:val="3"/>
        </w:numPr>
        <w:ind w:left="560" w:leftChars="0" w:firstLine="0" w:firstLineChars="0"/>
        <w:rPr>
          <w:rFonts w:hint="eastAsia"/>
          <w:lang w:val="en-US" w:eastAsia="zh-CN"/>
        </w:rPr>
      </w:pPr>
      <w:r>
        <w:rPr>
          <w:rFonts w:hint="eastAsia"/>
          <w:lang w:val="en-US" w:eastAsia="zh-CN"/>
        </w:rPr>
        <w:t>公务用车购置费0万元，与上年持平；</w:t>
      </w:r>
    </w:p>
    <w:p>
      <w:pPr>
        <w:pStyle w:val="26"/>
        <w:numPr>
          <w:ilvl w:val="0"/>
          <w:numId w:val="0"/>
        </w:numPr>
        <w:ind w:firstLine="560" w:firstLineChars="200"/>
        <w:rPr>
          <w:rFonts w:hint="default"/>
          <w:lang w:val="en-US" w:eastAsia="zh-CN"/>
        </w:rPr>
      </w:pPr>
      <w:r>
        <w:rPr>
          <w:rFonts w:hint="eastAsia"/>
          <w:lang w:val="en-US" w:eastAsia="zh-CN"/>
        </w:rPr>
        <w:t>（2）公用用车运行维护费</w:t>
      </w:r>
      <w:r>
        <w:t>23.68万元</w:t>
      </w:r>
      <w:r>
        <w:rPr>
          <w:rFonts w:hint="eastAsia"/>
          <w:lang w:eastAsia="zh-CN"/>
        </w:rPr>
        <w:t>，</w:t>
      </w:r>
      <w:r>
        <w:rPr>
          <w:rFonts w:hint="eastAsia"/>
          <w:lang w:val="en-US" w:eastAsia="zh-CN"/>
        </w:rPr>
        <w:t>比上年减少3.90万元；</w:t>
      </w:r>
    </w:p>
    <w:p>
      <w:pPr>
        <w:pStyle w:val="26"/>
        <w:numPr>
          <w:ilvl w:val="0"/>
          <w:numId w:val="0"/>
        </w:numPr>
        <w:ind w:firstLine="560" w:firstLineChars="200"/>
      </w:pPr>
      <w:r>
        <w:rPr>
          <w:rFonts w:hint="eastAsia"/>
          <w:lang w:val="en-US" w:eastAsia="zh-CN"/>
        </w:rPr>
        <w:t>（三）公务接待费</w:t>
      </w:r>
      <w:r>
        <w:t>2.48</w:t>
      </w:r>
      <w:r>
        <w:rPr>
          <w:rFonts w:hint="eastAsia"/>
          <w:lang w:val="en-US" w:eastAsia="zh-CN"/>
        </w:rPr>
        <w:t>万元，比上年减少0.14万元。</w:t>
      </w:r>
    </w:p>
    <w:p>
      <w:pPr>
        <w:spacing w:before="10" w:after="10" w:line="360" w:lineRule="auto"/>
        <w:ind w:firstLine="640"/>
        <w:jc w:val="left"/>
        <w:outlineLvl w:val="2"/>
        <w:rPr>
          <w:rFonts w:ascii="黑体" w:hAnsi="黑体" w:eastAsia="黑体" w:cs="黑体"/>
          <w:color w:val="000000"/>
          <w:sz w:val="32"/>
        </w:rPr>
      </w:pPr>
      <w:bookmarkStart w:id="13" w:name="_Toc_3_3_0000000014"/>
      <w:r>
        <w:rPr>
          <w:rFonts w:ascii="黑体" w:hAnsi="黑体" w:eastAsia="黑体" w:cs="黑体"/>
          <w:color w:val="000000"/>
          <w:sz w:val="32"/>
        </w:rPr>
        <w:t>五、部门整体绩效目标</w:t>
      </w:r>
      <w:bookmarkEnd w:id="13"/>
    </w:p>
    <w:p>
      <w:pPr>
        <w:spacing w:before="10" w:after="10" w:line="360" w:lineRule="auto"/>
        <w:ind w:firstLine="640"/>
        <w:jc w:val="left"/>
        <w:outlineLvl w:val="2"/>
      </w:pPr>
      <w:r>
        <w:rPr>
          <w:rFonts w:ascii="Times New Roman" w:hAnsi="Times New Roman" w:eastAsia="方正仿宋_GBK" w:cs="Times New Roman"/>
          <w:color w:val="000000"/>
          <w:sz w:val="28"/>
        </w:rPr>
        <w:t>（一）总体绩效目标</w:t>
      </w:r>
    </w:p>
    <w:p>
      <w:pPr>
        <w:pStyle w:val="22"/>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2025年，按照市委市政府安排部署，结合我局年度工作计划，努力完成</w:t>
      </w:r>
      <w:r>
        <w:rPr>
          <w:rFonts w:hint="eastAsia" w:ascii="Times New Roman" w:hAnsi="Times New Roman" w:eastAsia="方正仿宋_GBK" w:cs="Times New Roman"/>
          <w:sz w:val="28"/>
          <w:szCs w:val="24"/>
          <w:lang w:val="en-US" w:eastAsia="uk-UA" w:bidi="ar-SA"/>
        </w:rPr>
        <w:t>城市户外夜景照明及日常维护管理工作；规范管理户外公告、牌匾设置工作；依法查处违章设置户外广告、牌匾行为；对影响市容市貌的广告牌匾进行整治；做好数字化城市管理信息系统平台的管理工作；做好指导城市环境卫生管理工作；对双桥区范围内29条主干道进行养护管理；做好城市管理综合执法工作；做好全市城管系统行业（包括城市燃气、供热、供水、生活污水等）监管工作；做好文明城市创建工作。</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（二）分项绩效目标</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（一）城市户外夜景照明管理</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绩效目标：按照城市夜景照明总体规划要求，进行本年度计划实施的重要节点、重点城市夜景照明建设工作，做好城市户外夜景照明实施日常的管理，定期组织培训，提高照明管理工作人员素质。</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照明项目设计方案完成率100%；本年度照明计划全面率100%；本年度城市照明建设完成率100%；公益性亮化项目电费保障率98%以上；公益性亮化项目维修完好率98%以上；照明设施正常运行率98%以上；照明管理人员参加培训率100%。</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（二）城市户外广告管理</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负责指导城市户外广告管理工作；编制城市户外广告专项规划，指导县（市、区）编制户外广告专项规划；负责户外广告日常管理，依法查处违章设置户外广告、牌匾行为，对影响市容市貌的广告牌匾进行整治；加强培训，提高广告管理人员素质。</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绩效指标：户外广告、门店牌匾综合整治完成率100%；户外广告、门店牌匾综合整治完成率100%；不符合规划要求的广告牌匾拆除率100%；公益性广告便民设施设置率100%；广告管理工作人员参加培训率100%。</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（三）数字化城市管理</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绩效目标：负责市级数字化城市管理信息系统平台的建设、管理工作,并充分利用市级数字化城市管理信息平台,对中心城区城市管理各部件进行全方位、多角度、广覆盖的检查指导并督促落实。</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绩效指标：城市管理问题发现率90%</w:t>
      </w:r>
      <w:r>
        <w:rPr>
          <w:rFonts w:hint="eastAsia" w:ascii="Times New Roman" w:hAnsi="Times New Roman" w:eastAsia="方正仿宋_GBK" w:cs="Times New Roman"/>
          <w:sz w:val="28"/>
          <w:szCs w:val="24"/>
          <w:lang w:val="en-US" w:eastAsia="zh-CN" w:bidi="ar-SA"/>
        </w:rPr>
        <w:t>以上、案件派发准确率90%以上</w:t>
      </w:r>
      <w:r>
        <w:rPr>
          <w:rFonts w:hint="eastAsia" w:ascii="Times New Roman" w:hAnsi="Times New Roman" w:eastAsia="方正仿宋_GBK" w:cs="Times New Roman"/>
          <w:sz w:val="28"/>
          <w:szCs w:val="24"/>
          <w:lang w:val="en-US" w:eastAsia="uk-UA" w:bidi="ar-SA"/>
        </w:rPr>
        <w:t>；热线电话受理率90%</w:t>
      </w:r>
      <w:r>
        <w:rPr>
          <w:rFonts w:hint="eastAsia" w:ascii="Times New Roman" w:hAnsi="Times New Roman" w:eastAsia="方正仿宋_GBK" w:cs="Times New Roman"/>
          <w:sz w:val="28"/>
          <w:szCs w:val="24"/>
          <w:lang w:val="en-US" w:eastAsia="zh-CN" w:bidi="ar-SA"/>
        </w:rPr>
        <w:t>以上</w:t>
      </w:r>
      <w:r>
        <w:rPr>
          <w:rFonts w:hint="eastAsia" w:ascii="Times New Roman" w:hAnsi="Times New Roman" w:eastAsia="方正仿宋_GBK" w:cs="Times New Roman"/>
          <w:sz w:val="28"/>
          <w:szCs w:val="24"/>
          <w:lang w:val="en-US" w:eastAsia="uk-UA" w:bidi="ar-SA"/>
        </w:rPr>
        <w:t>；数字化城市管理面积覆盖率</w:t>
      </w:r>
      <w:r>
        <w:rPr>
          <w:rFonts w:hint="eastAsia" w:ascii="Times New Roman" w:hAnsi="Times New Roman" w:eastAsia="方正仿宋_GBK" w:cs="Times New Roman"/>
          <w:sz w:val="28"/>
          <w:szCs w:val="24"/>
          <w:lang w:val="en-US" w:eastAsia="zh-CN" w:bidi="ar-SA"/>
        </w:rPr>
        <w:t>100</w:t>
      </w:r>
      <w:r>
        <w:rPr>
          <w:rFonts w:hint="eastAsia" w:ascii="Times New Roman" w:hAnsi="Times New Roman" w:eastAsia="方正仿宋_GBK" w:cs="Times New Roman"/>
          <w:sz w:val="28"/>
          <w:szCs w:val="24"/>
          <w:lang w:val="en-US" w:eastAsia="uk-UA" w:bidi="ar-SA"/>
        </w:rPr>
        <w:t>%。</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（四）城市环境卫生管理</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负责城市环境卫生管理工作的指导协调、督导检查、目标考核；制定城市环境卫生工作的中长期规划和年度计划、方案，并组织、监督实施；制定城市环境卫生管理标准、环境卫生作业标准和检查评比办法；指导各县（市、区）垃圾减量化、资源化、无害化处理工作；指导城市道路扬尘污染治理工作；负责市本级投资建设的环境卫生设施的规划申报、组织实施、资产监管和处置核准；负责对各县（市、区）环境卫生工作进行统筹、规划、协调、监督、考核和统计工作。</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绩效指标：指导各县（市、区）垃圾减量化、资源化、无害化处理工作，生活垃圾无害化处理率</w:t>
      </w:r>
      <w:r>
        <w:rPr>
          <w:rFonts w:hint="eastAsia" w:ascii="Times New Roman" w:hAnsi="Times New Roman" w:eastAsia="方正仿宋_GBK" w:cs="Times New Roman"/>
          <w:sz w:val="28"/>
          <w:szCs w:val="24"/>
          <w:lang w:val="en-US" w:eastAsia="zh-CN" w:bidi="ar-SA"/>
        </w:rPr>
        <w:t>保持100</w:t>
      </w:r>
      <w:r>
        <w:rPr>
          <w:rFonts w:hint="eastAsia" w:ascii="Times New Roman" w:hAnsi="Times New Roman" w:eastAsia="方正仿宋_GBK" w:cs="Times New Roman"/>
          <w:sz w:val="28"/>
          <w:szCs w:val="24"/>
          <w:lang w:val="en-US" w:eastAsia="uk-UA" w:bidi="ar-SA"/>
        </w:rPr>
        <w:t>%；指导城市道路扬尘污染治理工作，城市道路机械化清扫率</w:t>
      </w:r>
      <w:r>
        <w:rPr>
          <w:rFonts w:hint="eastAsia" w:ascii="Times New Roman" w:hAnsi="Times New Roman" w:eastAsia="方正仿宋_GBK" w:cs="Times New Roman"/>
          <w:sz w:val="28"/>
          <w:szCs w:val="24"/>
          <w:lang w:val="en-US" w:eastAsia="zh-CN" w:bidi="ar-SA"/>
        </w:rPr>
        <w:t>保持100</w:t>
      </w:r>
      <w:r>
        <w:rPr>
          <w:rFonts w:hint="eastAsia" w:ascii="Times New Roman" w:hAnsi="Times New Roman" w:eastAsia="方正仿宋_GBK" w:cs="Times New Roman"/>
          <w:sz w:val="28"/>
          <w:szCs w:val="24"/>
          <w:lang w:val="en-US" w:eastAsia="uk-UA" w:bidi="ar-SA"/>
        </w:rPr>
        <w:t>%；指导推进中心城区餐厨废弃物收集运输和资源化利用，应收尽收，运至承德环能热电公司进行无害化处理。</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（五）主干道养护工程管理</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绩效目标：负责双桥区范围内2</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条主干道养护工程管理,对双桥区范围主干道破路恢复方案进行复核及监管，保障道路完好。</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绩效指标：城镇道路养护合格率95%以上。</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（六）城市管理综合执法工作</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做好双桥区、双滦区和承德高新技术产业开发区国有建设用地范围内，建设项目自取得《不动产权证书》之日起至交付使用之日止的跟踪检查工作，查处监管时限内未取得或未按照《建设工程规划许可证》建设的行为；对市住建局移交的涉嫌违反房地产市场或建筑市场管理规定的违法行为依法实施行政处罚。</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绩效指标：对违反规划建设行为和市住建局移交的违反建筑市场或房地产市场的违法案件的立案率达到100%。</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（七）全市城管系统行业监管</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绩效目标：做好县(市、区)开展燃气及供热企业监管工作；做好城市供水、排水、污水处理的行业管理工作，科学合理指导供排水行业管理和运行；</w:t>
      </w:r>
      <w:r>
        <w:rPr>
          <w:rFonts w:hint="eastAsia" w:ascii="Times New Roman" w:hAnsi="Times New Roman" w:eastAsia="方正仿宋_GBK" w:cs="Times New Roman"/>
          <w:sz w:val="28"/>
          <w:szCs w:val="24"/>
          <w:lang w:val="en-US" w:eastAsia="zh-CN" w:bidi="ar-SA"/>
        </w:rPr>
        <w:t>做好中心</w:t>
      </w:r>
      <w:r>
        <w:rPr>
          <w:rFonts w:hint="eastAsia" w:ascii="Times New Roman" w:hAnsi="Times New Roman" w:eastAsia="方正仿宋_GBK" w:cs="Times New Roman"/>
          <w:sz w:val="28"/>
          <w:szCs w:val="24"/>
          <w:lang w:val="en-US" w:eastAsia="uk-UA" w:bidi="ar-SA"/>
        </w:rPr>
        <w:t>城区</w:t>
      </w:r>
      <w:r>
        <w:rPr>
          <w:rFonts w:hint="eastAsia" w:ascii="Times New Roman" w:hAnsi="Times New Roman" w:eastAsia="方正仿宋_GBK" w:cs="Times New Roman"/>
          <w:sz w:val="28"/>
          <w:szCs w:val="24"/>
          <w:lang w:val="en-US" w:eastAsia="zh-CN" w:bidi="ar-SA"/>
        </w:rPr>
        <w:t>经营性</w:t>
      </w:r>
      <w:r>
        <w:rPr>
          <w:rFonts w:hint="eastAsia" w:ascii="Times New Roman" w:hAnsi="Times New Roman" w:eastAsia="方正仿宋_GBK" w:cs="Times New Roman"/>
          <w:sz w:val="28"/>
          <w:szCs w:val="24"/>
          <w:lang w:val="en-US" w:eastAsia="uk-UA" w:bidi="ar-SA"/>
        </w:rPr>
        <w:t>停车场的</w:t>
      </w:r>
      <w:r>
        <w:rPr>
          <w:rFonts w:hint="eastAsia" w:ascii="Times New Roman" w:hAnsi="Times New Roman" w:eastAsia="方正仿宋_GBK" w:cs="Times New Roman"/>
          <w:sz w:val="28"/>
          <w:szCs w:val="24"/>
          <w:lang w:val="en-US" w:eastAsia="zh-CN" w:bidi="ar-SA"/>
        </w:rPr>
        <w:t>管理和</w:t>
      </w:r>
      <w:r>
        <w:rPr>
          <w:rFonts w:hint="eastAsia" w:ascii="Times New Roman" w:hAnsi="Times New Roman" w:eastAsia="方正仿宋_GBK" w:cs="Times New Roman"/>
          <w:sz w:val="28"/>
          <w:szCs w:val="24"/>
          <w:lang w:val="en-US" w:eastAsia="uk-UA" w:bidi="ar-SA"/>
        </w:rPr>
        <w:t>备案</w:t>
      </w:r>
      <w:r>
        <w:rPr>
          <w:rFonts w:hint="eastAsia" w:ascii="Times New Roman" w:hAnsi="Times New Roman" w:eastAsia="方正仿宋_GBK" w:cs="Times New Roman"/>
          <w:sz w:val="28"/>
          <w:szCs w:val="24"/>
          <w:lang w:val="en-US" w:eastAsia="zh-CN" w:bidi="ar-SA"/>
        </w:rPr>
        <w:t>工作</w:t>
      </w:r>
      <w:r>
        <w:rPr>
          <w:rFonts w:hint="eastAsia" w:ascii="Times New Roman" w:hAnsi="Times New Roman" w:eastAsia="方正仿宋_GBK" w:cs="Times New Roman"/>
          <w:sz w:val="28"/>
          <w:szCs w:val="24"/>
          <w:lang w:val="en-US" w:eastAsia="uk-UA" w:bidi="ar-SA"/>
        </w:rPr>
        <w:t>。</w:t>
      </w:r>
    </w:p>
    <w:p>
      <w:pPr>
        <w:pStyle w:val="22"/>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监督检查、隐患排查整改完成率100%；完成燃气及供热安全事故应急救援和现场指挥工作完成率100%；规划符合城市基础设施发展需要实施完成率90%以上；设备使用完好，安全运行达标率90%以上；落实供排水设施建设工作内容完成率90%以上；停车场建设完成率100%</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不</w:t>
      </w:r>
      <w:r>
        <w:rPr>
          <w:rFonts w:hint="eastAsia" w:ascii="Times New Roman" w:hAnsi="Times New Roman" w:eastAsia="方正仿宋_GBK" w:cs="Times New Roman"/>
          <w:sz w:val="28"/>
          <w:szCs w:val="24"/>
          <w:lang w:val="en-US" w:eastAsia="zh-CN" w:bidi="ar-SA"/>
        </w:rPr>
        <w:t>符合</w:t>
      </w:r>
      <w:r>
        <w:rPr>
          <w:rFonts w:hint="eastAsia" w:ascii="Times New Roman" w:hAnsi="Times New Roman" w:eastAsia="方正仿宋_GBK" w:cs="Times New Roman"/>
          <w:sz w:val="28"/>
          <w:szCs w:val="24"/>
          <w:lang w:val="en-US" w:eastAsia="uk-UA" w:bidi="ar-SA"/>
        </w:rPr>
        <w:t>承德市停车场管理的整改率100%；发生安全事故数为0；燃气专业技能培训与安全宣传完成100%。</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（三）工作保障措施</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按照《中共承德市委承德市人民政府关于全面实施预算绩效管理的实施意见》（承发〔2019〕9号）和《承德市市级部门预算绩效管理办法》（承财绩〔2019〕9号）等文件精神，紧紧围绕省、市决策部署，制定切实有效的工作保障措施，科学确定总体绩效目标和分项绩效目标，强化预算绩效日常监督，推进我局预算绩效管理科学化、制度化和规范化。</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 加强组织领导，完善制度机制</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我局预算绩效管理在局党组领导下进行，成立以党组书记、局长为组长</w:t>
      </w:r>
      <w:r>
        <w:rPr>
          <w:rFonts w:hint="eastAsia" w:ascii="Times New Roman" w:hAnsi="Times New Roman" w:eastAsia="方正仿宋_GBK" w:cs="Times New Roman"/>
          <w:sz w:val="28"/>
          <w:szCs w:val="24"/>
          <w:lang w:val="en-US" w:eastAsia="zh-CN" w:bidi="ar-SA"/>
        </w:rPr>
        <w:t>，副处级领导</w:t>
      </w:r>
      <w:r>
        <w:rPr>
          <w:rFonts w:hint="eastAsia" w:ascii="Times New Roman" w:hAnsi="Times New Roman" w:eastAsia="方正仿宋_GBK" w:cs="Times New Roman"/>
          <w:sz w:val="28"/>
          <w:szCs w:val="24"/>
          <w:lang w:val="en-US" w:eastAsia="uk-UA" w:bidi="ar-SA"/>
        </w:rPr>
        <w:t>为成员的预算绩效管理领导小组，领导小组下设办公室，办公室设在局财务科，统筹协调调度各项目管理单位开展预算管理工作；健全完善城市管理机制以及我局预算绩效管理、预算资金管理等制度规定，按要求开展部门预算绩效实时监控、绩效自评和重点项目评价等工作；研究制定预算绩效运行过程出现问题的应急处置方案。</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加强预算支出管理，确保支出进度达标</w:t>
      </w:r>
    </w:p>
    <w:p>
      <w:pPr>
        <w:pStyle w:val="22"/>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编细编实预算，将项目细化到可执行程度，确保批复即可执行；调整优化支出结构，按规定对“三公”经费和一般性支出进行压减；重点督导各部门按年初计划组织开展各项工作活动；加强预算资金支出动态过程管理，按照各项资金支出进度的关键时间节点，对预算资金项目进度进行通报，督促相关部门加快项目执行。</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3.加强城市精细化标准化管理</w:t>
      </w:r>
    </w:p>
    <w:p>
      <w:pPr>
        <w:keepNext w:val="0"/>
        <w:keepLines w:val="0"/>
        <w:pageBreakBefore w:val="0"/>
        <w:widowControl w:val="0"/>
        <w:pBdr>
          <w:bottom w:val="single" w:color="FFFFFF" w:sz="4" w:space="17"/>
        </w:pBdr>
        <w:kinsoku/>
        <w:wordWrap/>
        <w:overflowPunct/>
        <w:topLinePunct w:val="0"/>
        <w:autoSpaceDE/>
        <w:autoSpaceDN/>
        <w:bidi w:val="0"/>
        <w:adjustRightInd w:val="0"/>
        <w:snapToGrid w:val="0"/>
        <w:spacing w:line="560" w:lineRule="exact"/>
        <w:ind w:firstLine="551" w:firstLineChars="197"/>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一是结合全国文明城市创建，深入落实精细化管理。以全国文明城市创建统领城管工作，在今年工作基础上再聚焦、再深化、再提升，对照全国文明城市创建测评体系，对15类、1811个创城任务点位全面查摆提升，补弱项、固强项，持续推进创城点位公益广告建设，精细化常态化做好创城工作；充分发挥第六分指挥部督导组作用，积极协调各部门整体推进、同步提高，全面助力文明城市创建成功。二是聚焦群众“急难愁盼”问题，大力实施民生工程。</w:t>
      </w:r>
      <w:r>
        <w:rPr>
          <w:rFonts w:hint="eastAsia" w:ascii="Times New Roman" w:hAnsi="Times New Roman" w:eastAsia="方正仿宋_GBK" w:cs="Times New Roman"/>
          <w:sz w:val="28"/>
          <w:szCs w:val="24"/>
          <w:lang w:val="en-US" w:eastAsia="zh-CN" w:bidi="ar-SA"/>
        </w:rPr>
        <w:t>实施双桥区老旧小区供水设施改造工程，改造供水主管道约600米，包括10个区域，涉及居民1200余户；</w:t>
      </w:r>
      <w:r>
        <w:rPr>
          <w:rFonts w:hint="eastAsia" w:ascii="Times New Roman" w:hAnsi="Times New Roman" w:eastAsia="方正仿宋_GBK" w:cs="Times New Roman"/>
          <w:sz w:val="28"/>
          <w:szCs w:val="24"/>
          <w:lang w:val="en-US" w:eastAsia="uk-UA" w:bidi="ar-SA"/>
        </w:rPr>
        <w:t>实施城市停车场建设工程，全市</w:t>
      </w:r>
      <w:r>
        <w:rPr>
          <w:rFonts w:hint="eastAsia" w:ascii="Times New Roman" w:hAnsi="Times New Roman" w:eastAsia="方正仿宋_GBK" w:cs="Times New Roman"/>
          <w:sz w:val="28"/>
          <w:szCs w:val="24"/>
          <w:lang w:val="en-US" w:eastAsia="zh-CN" w:bidi="ar-SA"/>
        </w:rPr>
        <w:t>计划</w:t>
      </w:r>
      <w:r>
        <w:rPr>
          <w:rFonts w:hint="eastAsia" w:ascii="Times New Roman" w:hAnsi="Times New Roman" w:eastAsia="方正仿宋_GBK" w:cs="Times New Roman"/>
          <w:sz w:val="28"/>
          <w:szCs w:val="24"/>
          <w:lang w:val="en-US" w:eastAsia="uk-UA" w:bidi="ar-SA"/>
        </w:rPr>
        <w:t>新增停车泊位</w:t>
      </w:r>
      <w:r>
        <w:rPr>
          <w:rFonts w:hint="eastAsia" w:ascii="Times New Roman" w:hAnsi="Times New Roman" w:eastAsia="方正仿宋_GBK" w:cs="Times New Roman"/>
          <w:sz w:val="28"/>
          <w:szCs w:val="24"/>
          <w:lang w:val="en-US" w:eastAsia="zh-CN" w:bidi="ar-SA"/>
        </w:rPr>
        <w:t>2000</w:t>
      </w:r>
      <w:r>
        <w:rPr>
          <w:rFonts w:hint="eastAsia" w:ascii="Times New Roman" w:hAnsi="Times New Roman" w:eastAsia="方正仿宋_GBK" w:cs="Times New Roman"/>
          <w:sz w:val="28"/>
          <w:szCs w:val="24"/>
          <w:lang w:val="en-US" w:eastAsia="uk-UA" w:bidi="ar-SA"/>
        </w:rPr>
        <w:t>个，其中中心城区新增</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00个。三是抓好安全生产和生态安全，持续提升城市安全。以燃气安全为重点统领城管领域安全生产工作，深入开展燃气安全排查整治和供热“冬病夏治”，持续推进水热气老旧管网改造，全面抓好市政道路、桥梁隧道、供水排水、广告亮化、环卫等设施排查，及时消除安全隐患。四是</w:t>
      </w:r>
      <w:r>
        <w:rPr>
          <w:rFonts w:hint="eastAsia" w:ascii="Times New Roman" w:hAnsi="Times New Roman" w:eastAsia="方正仿宋_GBK" w:cs="Times New Roman"/>
          <w:sz w:val="28"/>
          <w:szCs w:val="24"/>
          <w:lang w:val="en-US" w:eastAsia="zh-CN" w:bidi="ar-SA"/>
        </w:rPr>
        <w:t>持续</w:t>
      </w:r>
      <w:r>
        <w:rPr>
          <w:rFonts w:hint="eastAsia" w:ascii="Times New Roman" w:hAnsi="Times New Roman" w:eastAsia="方正仿宋_GBK" w:cs="Times New Roman"/>
          <w:sz w:val="28"/>
          <w:szCs w:val="24"/>
          <w:lang w:val="en-US" w:eastAsia="uk-UA" w:bidi="ar-SA"/>
        </w:rPr>
        <w:t>优化营商环境，不断强化城管执法。</w:t>
      </w:r>
      <w:r>
        <w:rPr>
          <w:rFonts w:hint="eastAsia" w:ascii="Times New Roman" w:hAnsi="Times New Roman" w:eastAsia="方正仿宋_GBK" w:cs="Times New Roman"/>
          <w:sz w:val="28"/>
          <w:szCs w:val="24"/>
          <w:lang w:val="en-US" w:eastAsia="zh-CN" w:bidi="ar-SA"/>
        </w:rPr>
        <w:t>严格落实省市稳定经济运行政策措施，深入贯彻“办事一次成”改革，不断优化城管系统营商环境。</w:t>
      </w:r>
      <w:r>
        <w:rPr>
          <w:rFonts w:hint="eastAsia" w:ascii="Times New Roman" w:hAnsi="Times New Roman" w:eastAsia="方正仿宋_GBK" w:cs="Times New Roman"/>
          <w:sz w:val="28"/>
          <w:szCs w:val="24"/>
          <w:lang w:val="en-US" w:eastAsia="uk-UA" w:bidi="ar-SA"/>
        </w:rPr>
        <w:t>强化“执法为民”理念，严格落实行政执法三项制度，推进行政执法标准化、规范化、制度化建设，着力构建导向清晰、决策科学、执行有力、多元参与的城市执法管理体系，进一步提升城管执法效能和执法水平。五是全面落实从严治党，切实加强自身建设。深入学习贯彻党的二十大精神，用最新理论武装头脑。坚持党要管党、全面从严治党。聚焦队伍建设，持续深入推进纠正“四风”和“六治六提”作风整顿，打造一支基础强、作风硬、形象好的城市管理“铁军”。</w:t>
      </w:r>
    </w:p>
    <w:p>
      <w:pPr>
        <w:keepNext w:val="0"/>
        <w:keepLines w:val="0"/>
        <w:pageBreakBefore w:val="0"/>
        <w:widowControl w:val="0"/>
        <w:pBdr>
          <w:bottom w:val="single" w:color="FFFFFF" w:sz="4" w:space="17"/>
        </w:pBdr>
        <w:kinsoku/>
        <w:wordWrap/>
        <w:overflowPunct/>
        <w:topLinePunct w:val="0"/>
        <w:autoSpaceDE/>
        <w:autoSpaceDN/>
        <w:bidi w:val="0"/>
        <w:adjustRightInd w:val="0"/>
        <w:snapToGrid w:val="0"/>
        <w:spacing w:line="560" w:lineRule="exact"/>
        <w:ind w:firstLine="551" w:firstLineChars="197"/>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加强绩效运行监控</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做好绩效自评</w:t>
      </w:r>
    </w:p>
    <w:p>
      <w:pPr>
        <w:keepNext w:val="0"/>
        <w:keepLines w:val="0"/>
        <w:pageBreakBefore w:val="0"/>
        <w:widowControl w:val="0"/>
        <w:pBdr>
          <w:bottom w:val="single" w:color="FFFFFF" w:sz="4" w:space="17"/>
        </w:pBdr>
        <w:kinsoku/>
        <w:wordWrap/>
        <w:overflowPunct/>
        <w:topLinePunct w:val="0"/>
        <w:autoSpaceDE/>
        <w:autoSpaceDN/>
        <w:bidi w:val="0"/>
        <w:adjustRightInd w:val="0"/>
        <w:snapToGrid w:val="0"/>
        <w:spacing w:line="560" w:lineRule="exact"/>
        <w:ind w:firstLine="551" w:firstLineChars="197"/>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按要求开展绩效运行监控，发现问题及时采取措施，确保绩效目标如期保质实现。按要求开展上年度部门预算绩效自评和重点评价工作，对评价中发现的问题及时整改，调整优化支出结构，提高财政资金使用效益。</w:t>
      </w:r>
    </w:p>
    <w:p>
      <w:pPr>
        <w:keepNext w:val="0"/>
        <w:keepLines w:val="0"/>
        <w:pageBreakBefore w:val="0"/>
        <w:widowControl w:val="0"/>
        <w:pBdr>
          <w:bottom w:val="single" w:color="FFFFFF" w:sz="4" w:space="17"/>
        </w:pBdr>
        <w:kinsoku/>
        <w:wordWrap/>
        <w:overflowPunct/>
        <w:topLinePunct w:val="0"/>
        <w:autoSpaceDE/>
        <w:autoSpaceDN/>
        <w:bidi w:val="0"/>
        <w:adjustRightInd w:val="0"/>
        <w:snapToGrid w:val="0"/>
        <w:spacing w:line="560" w:lineRule="exact"/>
        <w:ind w:firstLine="551" w:firstLineChars="197"/>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.加强城管执法相关各方面的监督管理</w:t>
      </w:r>
    </w:p>
    <w:p>
      <w:pPr>
        <w:keepNext w:val="0"/>
        <w:keepLines w:val="0"/>
        <w:pageBreakBefore w:val="0"/>
        <w:widowControl w:val="0"/>
        <w:pBdr>
          <w:bottom w:val="single" w:color="FFFFFF" w:sz="4" w:space="17"/>
        </w:pBdr>
        <w:kinsoku/>
        <w:wordWrap/>
        <w:overflowPunct/>
        <w:topLinePunct w:val="0"/>
        <w:autoSpaceDE/>
        <w:autoSpaceDN/>
        <w:bidi w:val="0"/>
        <w:adjustRightInd w:val="0"/>
        <w:snapToGrid w:val="0"/>
        <w:spacing w:line="560" w:lineRule="exact"/>
        <w:ind w:firstLine="551" w:firstLineChars="197"/>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加强对</w:t>
      </w:r>
      <w:r>
        <w:rPr>
          <w:rFonts w:hint="eastAsia" w:ascii="Times New Roman" w:hAnsi="Times New Roman" w:eastAsia="方正仿宋_GBK" w:cs="Times New Roman"/>
          <w:sz w:val="28"/>
          <w:szCs w:val="24"/>
          <w:lang w:val="en-US" w:eastAsia="uk-UA" w:bidi="ar-SA"/>
        </w:rPr>
        <w:t>双桥区、双滦区和承德高新技术产业开发区国有建设用地范围内，建设项目自取得《不动产权证书》之日起至交付使用之日止的跟踪检查工作，查处监管时限内未取得或未按照《建设工程规划许可证》建设的行为；</w:t>
      </w:r>
      <w:r>
        <w:rPr>
          <w:rFonts w:hint="eastAsia" w:ascii="Times New Roman" w:hAnsi="Times New Roman" w:eastAsia="方正仿宋_GBK" w:cs="Times New Roman"/>
          <w:sz w:val="28"/>
          <w:szCs w:val="24"/>
          <w:lang w:val="en-US" w:eastAsia="zh-CN" w:bidi="ar-SA"/>
        </w:rPr>
        <w:t>加强联合验收工作中建设工程项目是否按照审批内容建设的核实；加强</w:t>
      </w:r>
      <w:r>
        <w:rPr>
          <w:rFonts w:hint="eastAsia" w:ascii="Times New Roman" w:hAnsi="Times New Roman" w:eastAsia="方正仿宋_GBK" w:cs="Times New Roman"/>
          <w:sz w:val="28"/>
          <w:szCs w:val="24"/>
          <w:lang w:val="en-US" w:eastAsia="uk-UA" w:bidi="ar-SA"/>
        </w:rPr>
        <w:t>对市住建局移交的涉嫌违反房地产市场或建筑市场管理规定的违法行为依法实施行政处罚</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广泛开展爱国卫生运动，持续开展城市容貌环境整治。</w:t>
      </w:r>
    </w:p>
    <w:p>
      <w:pPr>
        <w:pStyle w:val="2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加强内部监督管理，确保资金安全有效</w:t>
      </w:r>
    </w:p>
    <w:p>
      <w:pPr>
        <w:keepNext w:val="0"/>
        <w:keepLines w:val="0"/>
        <w:pageBreakBefore w:val="0"/>
        <w:widowControl w:val="0"/>
        <w:numPr>
          <w:ilvl w:val="0"/>
          <w:numId w:val="0"/>
        </w:numPr>
        <w:pBdr>
          <w:bottom w:val="single" w:color="FFFFFF" w:sz="4" w:space="17"/>
        </w:pBdr>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完善财务管理制度，严格财务资金审批程序，加强固定资产登记、使用和报废处置管理；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物资采购、工程项目等大额资金使用招投标的全过程监督。</w:t>
      </w:r>
    </w:p>
    <w:p>
      <w:pPr>
        <w:keepNext w:val="0"/>
        <w:keepLines w:val="0"/>
        <w:pageBreakBefore w:val="0"/>
        <w:widowControl w:val="0"/>
        <w:numPr>
          <w:ilvl w:val="0"/>
          <w:numId w:val="0"/>
        </w:numPr>
        <w:pBdr>
          <w:bottom w:val="single" w:color="FFFFFF" w:sz="4" w:space="17"/>
        </w:pBdr>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7.</w:t>
      </w:r>
      <w:r>
        <w:rPr>
          <w:rFonts w:hint="eastAsia" w:ascii="Times New Roman" w:hAnsi="Times New Roman" w:eastAsia="方正仿宋_GBK" w:cs="Times New Roman"/>
          <w:sz w:val="28"/>
          <w:szCs w:val="24"/>
          <w:lang w:val="en-US" w:eastAsia="uk-UA" w:bidi="ar-SA"/>
        </w:rPr>
        <w:t>加强依法行政管理及工作人员素质规范重大行政决策程序，全面推进落实行政执法“三项制度”</w:t>
      </w:r>
      <w:r>
        <w:rPr>
          <w:rFonts w:hint="eastAsia" w:ascii="Times New Roman" w:hAnsi="Times New Roman" w:eastAsia="方正仿宋_GBK" w:cs="Times New Roman"/>
          <w:sz w:val="28"/>
          <w:szCs w:val="24"/>
          <w:lang w:val="en-US" w:eastAsia="zh-CN" w:bidi="ar-SA"/>
        </w:rPr>
        <w:t>建设。</w:t>
      </w:r>
    </w:p>
    <w:p>
      <w:pPr>
        <w:pStyle w:val="24"/>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uk-UA" w:bidi="ar-SA"/>
        </w:rPr>
        <w:t>编制行政执法规范、汇编，重点增加城管执法“软实力”；着力开展“强基础、转作风、树形象”专项行动，全面推行“721”工作法，提升执法人员的法律素养和业务技能；加强预算绩效管理专业知识培训，提高预算绩效管理工作人员的业务素质，不断优化管理工作人员知识结构，促进管理工作人员严格履行职责，提高相关工作的科学化和规范化水平。加强预绩效管理算绩效调研工作，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r>
        <w:rPr>
          <w:rFonts w:hint="eastAsia" w:ascii="Times New Roman" w:hAnsi="Times New Roman" w:eastAsia="方正仿宋_GBK" w:cs="Times New Roman"/>
          <w:sz w:val="28"/>
          <w:szCs w:val="24"/>
          <w:lang w:val="en-US" w:eastAsia="zh-CN" w:bidi="ar-SA"/>
        </w:rPr>
        <w:t>。</w:t>
      </w:r>
    </w:p>
    <w:p>
      <w:pPr>
        <w:numPr>
          <w:ilvl w:val="0"/>
          <w:numId w:val="4"/>
        </w:numPr>
        <w:spacing w:before="10" w:after="10" w:line="360" w:lineRule="auto"/>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spacing w:before="0" w:after="0"/>
        <w:ind w:firstLine="560"/>
        <w:jc w:val="left"/>
        <w:outlineLvl w:val="9"/>
        <w:rPr>
          <w:rFonts w:hint="eastAsia" w:ascii="方正仿宋_GBK" w:hAnsi="方正仿宋_GBK" w:eastAsia="方正仿宋_GBK" w:cs="方正仿宋_GBK"/>
          <w:color w:val="000000"/>
          <w:sz w:val="28"/>
          <w:lang w:val="en-US" w:eastAsia="zh-CN"/>
        </w:rPr>
        <w:sectPr>
          <w:pgSz w:w="16840" w:h="11900" w:orient="landscape"/>
          <w:pgMar w:top="1361" w:right="1020" w:bottom="1134" w:left="1020" w:header="720" w:footer="720" w:gutter="0"/>
          <w:cols w:space="720" w:num="1"/>
        </w:sectPr>
      </w:pPr>
      <w:r>
        <w:rPr>
          <w:rFonts w:hint="eastAsia" w:ascii="方正仿宋_GBK" w:hAnsi="方正仿宋_GBK" w:eastAsia="方正仿宋_GBK" w:cs="方正仿宋_GBK"/>
          <w:color w:val="000000"/>
          <w:sz w:val="28"/>
          <w:lang w:eastAsia="zh-CN"/>
        </w:rPr>
        <w:t>我</w:t>
      </w:r>
      <w:r>
        <w:rPr>
          <w:rFonts w:ascii="方正仿宋_GBK" w:hAnsi="方正仿宋_GBK" w:eastAsia="方正仿宋_GBK" w:cs="方正仿宋_GBK"/>
          <w:color w:val="000000"/>
          <w:sz w:val="28"/>
        </w:rPr>
        <w:t>部门</w:t>
      </w:r>
      <w:r>
        <w:rPr>
          <w:rFonts w:hint="eastAsia" w:ascii="方正仿宋_GBK" w:hAnsi="方正仿宋_GBK" w:eastAsia="方正仿宋_GBK" w:cs="方正仿宋_GBK"/>
          <w:color w:val="000000"/>
          <w:sz w:val="28"/>
          <w:lang w:val="en-US" w:eastAsia="zh-CN"/>
        </w:rPr>
        <w:t>2025年无无</w:t>
      </w:r>
      <w:r>
        <w:rPr>
          <w:rFonts w:ascii="方正仿宋_GBK" w:hAnsi="方正仿宋_GBK" w:eastAsia="方正仿宋_GBK" w:cs="方正仿宋_GBK"/>
          <w:color w:val="000000"/>
          <w:sz w:val="28"/>
        </w:rPr>
        <w:t>专项资金预算安排</w:t>
      </w:r>
      <w:r>
        <w:rPr>
          <w:rFonts w:hint="eastAsia" w:ascii="方正仿宋_GBK" w:hAnsi="方正仿宋_GBK" w:eastAsia="方正仿宋_GBK" w:cs="方正仿宋_GBK"/>
          <w:color w:val="000000"/>
          <w:sz w:val="28"/>
          <w:lang w:eastAsia="zh-CN"/>
        </w:rPr>
        <w:t>。</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1、2025年承德市燃气安全托管项目绩效目标表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13080025P00004510005E</w:t>
            </w:r>
          </w:p>
        </w:tc>
        <w:tc>
          <w:tcPr>
            <w:tcW w:w="2835" w:type="dxa"/>
            <w:vAlign w:val="center"/>
          </w:tcPr>
          <w:p>
            <w:pPr>
              <w:pStyle w:val="11"/>
            </w:pPr>
            <w:r>
              <w:t>项目名称</w:t>
            </w:r>
          </w:p>
        </w:tc>
        <w:tc>
          <w:tcPr>
            <w:tcW w:w="6095" w:type="dxa"/>
            <w:gridSpan w:val="3"/>
            <w:vAlign w:val="center"/>
          </w:tcPr>
          <w:p>
            <w:pPr>
              <w:pStyle w:val="13"/>
            </w:pPr>
            <w:r>
              <w:t>2025年承德市燃气安全托管项目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54.00</w:t>
            </w:r>
          </w:p>
        </w:tc>
        <w:tc>
          <w:tcPr>
            <w:tcW w:w="2835" w:type="dxa"/>
            <w:vAlign w:val="center"/>
          </w:tcPr>
          <w:p>
            <w:pPr>
              <w:pStyle w:val="11"/>
            </w:pPr>
            <w:r>
              <w:t>其中：财政    资金</w:t>
            </w:r>
          </w:p>
        </w:tc>
        <w:tc>
          <w:tcPr>
            <w:tcW w:w="2551" w:type="dxa"/>
            <w:vAlign w:val="center"/>
          </w:tcPr>
          <w:p>
            <w:pPr>
              <w:pStyle w:val="13"/>
            </w:pPr>
            <w:r>
              <w:t>54.00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用于支付燃气安全托管费用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1.在2025年度支付资金54万元，聘请第三方完成安全托管业务，提升燃气使用安全，保障燃气安全使用工作。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聘用成本</w:t>
            </w:r>
          </w:p>
        </w:tc>
        <w:tc>
          <w:tcPr>
            <w:tcW w:w="5386" w:type="dxa"/>
            <w:vAlign w:val="center"/>
          </w:tcPr>
          <w:p>
            <w:pPr>
              <w:pStyle w:val="13"/>
            </w:pPr>
            <w:r>
              <w:t>聘用第三方机构服务费用情况</w:t>
            </w:r>
          </w:p>
        </w:tc>
        <w:tc>
          <w:tcPr>
            <w:tcW w:w="2268" w:type="dxa"/>
            <w:vAlign w:val="center"/>
          </w:tcPr>
          <w:p>
            <w:pPr>
              <w:pStyle w:val="13"/>
            </w:pPr>
            <w:r>
              <w:t>≤54万元</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项目完成验收合格率</w:t>
            </w:r>
          </w:p>
        </w:tc>
        <w:tc>
          <w:tcPr>
            <w:tcW w:w="5386" w:type="dxa"/>
            <w:vAlign w:val="center"/>
          </w:tcPr>
          <w:p>
            <w:pPr>
              <w:pStyle w:val="13"/>
            </w:pPr>
            <w:r>
              <w:t>第三方服务机构项目完成验收合格情</w:t>
            </w:r>
          </w:p>
          <w:p>
            <w:pPr>
              <w:pStyle w:val="13"/>
            </w:pPr>
            <w:r>
              <w:t>况</w:t>
            </w:r>
          </w:p>
        </w:tc>
        <w:tc>
          <w:tcPr>
            <w:tcW w:w="2268" w:type="dxa"/>
            <w:vAlign w:val="center"/>
          </w:tcPr>
          <w:p>
            <w:pPr>
              <w:pStyle w:val="13"/>
            </w:pPr>
            <w:r>
              <w:t>≥95%</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聘请第三方机构数</w:t>
            </w:r>
          </w:p>
        </w:tc>
        <w:tc>
          <w:tcPr>
            <w:tcW w:w="5386" w:type="dxa"/>
            <w:vAlign w:val="center"/>
          </w:tcPr>
          <w:p>
            <w:pPr>
              <w:pStyle w:val="13"/>
            </w:pPr>
            <w:r>
              <w:t>反映聘请第三方机构的数量</w:t>
            </w:r>
          </w:p>
        </w:tc>
        <w:tc>
          <w:tcPr>
            <w:tcW w:w="2268" w:type="dxa"/>
            <w:vAlign w:val="center"/>
          </w:tcPr>
          <w:p>
            <w:pPr>
              <w:pStyle w:val="13"/>
            </w:pPr>
            <w:r>
              <w:t>≥1个</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项目完成及时性</w:t>
            </w:r>
          </w:p>
        </w:tc>
        <w:tc>
          <w:tcPr>
            <w:tcW w:w="5386" w:type="dxa"/>
            <w:vAlign w:val="center"/>
          </w:tcPr>
          <w:p>
            <w:pPr>
              <w:pStyle w:val="13"/>
            </w:pPr>
            <w:r>
              <w:t>反映第三方机构在规定时间内完成项目，</w:t>
            </w:r>
          </w:p>
          <w:p>
            <w:pPr>
              <w:pStyle w:val="13"/>
            </w:pPr>
            <w:r>
              <w:t>不延期</w:t>
            </w:r>
          </w:p>
        </w:tc>
        <w:tc>
          <w:tcPr>
            <w:tcW w:w="2268" w:type="dxa"/>
            <w:vAlign w:val="center"/>
          </w:tcPr>
          <w:p>
            <w:pPr>
              <w:pStyle w:val="13"/>
            </w:pPr>
            <w:r>
              <w:t>2025年12月底前</w:t>
            </w:r>
          </w:p>
          <w:p>
            <w:pPr>
              <w:pStyle w:val="13"/>
            </w:pP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较聘请前提升工作效率</w:t>
            </w:r>
          </w:p>
        </w:tc>
        <w:tc>
          <w:tcPr>
            <w:tcW w:w="5386" w:type="dxa"/>
            <w:vAlign w:val="center"/>
          </w:tcPr>
          <w:p>
            <w:pPr>
              <w:pStyle w:val="13"/>
            </w:pPr>
            <w:r>
              <w:t>反映聘请后对工作效率提升的幅度</w:t>
            </w:r>
          </w:p>
        </w:tc>
        <w:tc>
          <w:tcPr>
            <w:tcW w:w="2268" w:type="dxa"/>
            <w:vAlign w:val="center"/>
          </w:tcPr>
          <w:p>
            <w:pPr>
              <w:pStyle w:val="13"/>
            </w:pPr>
            <w:r>
              <w:t>≥80%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提供长期稳定服务</w:t>
            </w:r>
          </w:p>
        </w:tc>
        <w:tc>
          <w:tcPr>
            <w:tcW w:w="5386" w:type="dxa"/>
            <w:vAlign w:val="center"/>
          </w:tcPr>
          <w:p>
            <w:pPr>
              <w:pStyle w:val="13"/>
            </w:pPr>
            <w:r>
              <w:t>第三方机构实施项目能够长期稳定保障燃气安全托管顺利进行，保障燃气工作正常运转</w:t>
            </w:r>
          </w:p>
        </w:tc>
        <w:tc>
          <w:tcPr>
            <w:tcW w:w="2268" w:type="dxa"/>
            <w:vAlign w:val="center"/>
          </w:tcPr>
          <w:p>
            <w:pPr>
              <w:pStyle w:val="13"/>
            </w:pPr>
            <w:r>
              <w:t>≥1年</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工作人员对第三方机构认可程度</w:t>
            </w:r>
          </w:p>
        </w:tc>
        <w:tc>
          <w:tcPr>
            <w:tcW w:w="2268" w:type="dxa"/>
            <w:vAlign w:val="center"/>
          </w:tcPr>
          <w:p>
            <w:pPr>
              <w:pStyle w:val="13"/>
            </w:pPr>
            <w:r>
              <w:t>≥90%</w:t>
            </w:r>
          </w:p>
        </w:tc>
        <w:tc>
          <w:tcPr>
            <w:tcW w:w="1276" w:type="dxa"/>
            <w:vAlign w:val="center"/>
          </w:tcPr>
          <w:p>
            <w:pPr>
              <w:pStyle w:val="13"/>
            </w:pPr>
            <w:r>
              <w:t>实际调查结果</w:t>
            </w:r>
          </w:p>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2、（部分）城管执法服装更新绩效目标表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13080024P00006610007B</w:t>
            </w:r>
          </w:p>
        </w:tc>
        <w:tc>
          <w:tcPr>
            <w:tcW w:w="2835" w:type="dxa"/>
            <w:vAlign w:val="center"/>
          </w:tcPr>
          <w:p>
            <w:pPr>
              <w:pStyle w:val="11"/>
            </w:pPr>
            <w:r>
              <w:t>项目名称</w:t>
            </w:r>
          </w:p>
        </w:tc>
        <w:tc>
          <w:tcPr>
            <w:tcW w:w="6095" w:type="dxa"/>
            <w:gridSpan w:val="3"/>
            <w:vAlign w:val="center"/>
          </w:tcPr>
          <w:p>
            <w:pPr>
              <w:pStyle w:val="13"/>
            </w:pPr>
            <w:r>
              <w:t>（部分）城管执法服装更新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16.40</w:t>
            </w:r>
          </w:p>
        </w:tc>
        <w:tc>
          <w:tcPr>
            <w:tcW w:w="2835" w:type="dxa"/>
            <w:vAlign w:val="center"/>
          </w:tcPr>
          <w:p>
            <w:pPr>
              <w:pStyle w:val="11"/>
            </w:pPr>
            <w:r>
              <w:t>其中：财政    资金</w:t>
            </w:r>
          </w:p>
        </w:tc>
        <w:tc>
          <w:tcPr>
            <w:tcW w:w="2551" w:type="dxa"/>
            <w:vAlign w:val="center"/>
          </w:tcPr>
          <w:p>
            <w:pPr>
              <w:pStyle w:val="13"/>
            </w:pPr>
            <w:r>
              <w:t>16.40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用于支付城管执法服装费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95%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1.在2025年度，花费资金16.4万元，进行城管执法服装购置，提升执法人员形象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执法服装购置数量</w:t>
            </w:r>
          </w:p>
        </w:tc>
        <w:tc>
          <w:tcPr>
            <w:tcW w:w="5386" w:type="dxa"/>
            <w:vAlign w:val="center"/>
          </w:tcPr>
          <w:p>
            <w:pPr>
              <w:pStyle w:val="13"/>
            </w:pPr>
            <w:r>
              <w:t>采购城管执法人员服装</w:t>
            </w:r>
          </w:p>
        </w:tc>
        <w:tc>
          <w:tcPr>
            <w:tcW w:w="2268" w:type="dxa"/>
            <w:vAlign w:val="center"/>
          </w:tcPr>
          <w:p>
            <w:pPr>
              <w:pStyle w:val="13"/>
            </w:pPr>
            <w:r>
              <w:t>41套</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执法服装验收合格率</w:t>
            </w:r>
          </w:p>
        </w:tc>
        <w:tc>
          <w:tcPr>
            <w:tcW w:w="5386" w:type="dxa"/>
            <w:vAlign w:val="center"/>
          </w:tcPr>
          <w:p>
            <w:pPr>
              <w:pStyle w:val="13"/>
            </w:pPr>
            <w:r>
              <w:t>城管执法服装验收合格率</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采购完成时间</w:t>
            </w:r>
          </w:p>
        </w:tc>
        <w:tc>
          <w:tcPr>
            <w:tcW w:w="5386" w:type="dxa"/>
            <w:vAlign w:val="center"/>
          </w:tcPr>
          <w:p>
            <w:pPr>
              <w:pStyle w:val="13"/>
            </w:pPr>
            <w:r>
              <w:t>按合同约定完成采购工作</w:t>
            </w:r>
          </w:p>
        </w:tc>
        <w:tc>
          <w:tcPr>
            <w:tcW w:w="2268" w:type="dxa"/>
            <w:vAlign w:val="center"/>
          </w:tcPr>
          <w:p>
            <w:pPr>
              <w:pStyle w:val="13"/>
            </w:pPr>
            <w:r>
              <w:t>2025年12月底前完成</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服装采购总成本</w:t>
            </w:r>
          </w:p>
        </w:tc>
        <w:tc>
          <w:tcPr>
            <w:tcW w:w="5386" w:type="dxa"/>
            <w:vAlign w:val="center"/>
          </w:tcPr>
          <w:p>
            <w:pPr>
              <w:pStyle w:val="13"/>
            </w:pPr>
            <w:r>
              <w:t>城管执法服装总金额</w:t>
            </w:r>
          </w:p>
        </w:tc>
        <w:tc>
          <w:tcPr>
            <w:tcW w:w="2268" w:type="dxa"/>
            <w:vAlign w:val="center"/>
          </w:tcPr>
          <w:p>
            <w:pPr>
              <w:pStyle w:val="13"/>
            </w:pPr>
            <w:r>
              <w:t>≤16.4万元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提升执法人员形象</w:t>
            </w:r>
          </w:p>
        </w:tc>
        <w:tc>
          <w:tcPr>
            <w:tcW w:w="5386" w:type="dxa"/>
            <w:vAlign w:val="center"/>
          </w:tcPr>
          <w:p>
            <w:pPr>
              <w:pStyle w:val="13"/>
            </w:pPr>
            <w:r>
              <w:t>树立城管执法形象，显著提升执法人员形象</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服装使用年限</w:t>
            </w:r>
          </w:p>
        </w:tc>
        <w:tc>
          <w:tcPr>
            <w:tcW w:w="5386" w:type="dxa"/>
            <w:vAlign w:val="center"/>
          </w:tcPr>
          <w:p>
            <w:pPr>
              <w:pStyle w:val="13"/>
            </w:pPr>
            <w:r>
              <w:t>持续穿着时间年限</w:t>
            </w:r>
          </w:p>
        </w:tc>
        <w:tc>
          <w:tcPr>
            <w:tcW w:w="2268" w:type="dxa"/>
            <w:vAlign w:val="center"/>
          </w:tcPr>
          <w:p>
            <w:pPr>
              <w:pStyle w:val="13"/>
            </w:pPr>
            <w:r>
              <w:t>≥5年</w:t>
            </w:r>
          </w:p>
        </w:tc>
        <w:tc>
          <w:tcPr>
            <w:tcW w:w="1276" w:type="dxa"/>
            <w:vAlign w:val="center"/>
          </w:tcPr>
          <w:p>
            <w:pPr>
              <w:pStyle w:val="13"/>
            </w:pPr>
            <w:r>
              <w:t>行业规范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机关使用人员满意度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3、城管局运行经费绩效目标表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13080025P00004310004F</w:t>
            </w:r>
          </w:p>
        </w:tc>
        <w:tc>
          <w:tcPr>
            <w:tcW w:w="2835" w:type="dxa"/>
            <w:vAlign w:val="center"/>
          </w:tcPr>
          <w:p>
            <w:pPr>
              <w:pStyle w:val="11"/>
            </w:pPr>
            <w:r>
              <w:t>项目名称</w:t>
            </w:r>
          </w:p>
        </w:tc>
        <w:tc>
          <w:tcPr>
            <w:tcW w:w="6095" w:type="dxa"/>
            <w:gridSpan w:val="3"/>
            <w:vAlign w:val="center"/>
          </w:tcPr>
          <w:p>
            <w:pPr>
              <w:pStyle w:val="13"/>
            </w:pPr>
            <w:r>
              <w:t>城管局运行经费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用于支付城管局运行经费</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1.在2025年全年，使用90万元运行经费保障单位运转，日常维护，人员办公经费等工作，确保单位正常运转、人员正常工作所需。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5386" w:type="dxa"/>
            <w:vAlign w:val="center"/>
          </w:tcPr>
          <w:p>
            <w:pPr>
              <w:pStyle w:val="13"/>
            </w:pPr>
            <w:r>
              <w:t>机关工作人员每日办公时间</w:t>
            </w:r>
          </w:p>
        </w:tc>
        <w:tc>
          <w:tcPr>
            <w:tcW w:w="2268" w:type="dxa"/>
            <w:vAlign w:val="center"/>
          </w:tcPr>
          <w:p>
            <w:pPr>
              <w:pStyle w:val="13"/>
            </w:pPr>
            <w:r>
              <w:t>≥8小时</w:t>
            </w:r>
          </w:p>
        </w:tc>
        <w:tc>
          <w:tcPr>
            <w:tcW w:w="1276" w:type="dxa"/>
            <w:vAlign w:val="center"/>
          </w:tcPr>
          <w:p>
            <w:pPr>
              <w:pStyle w:val="13"/>
            </w:pPr>
            <w:r>
              <w:t>行政事业单位法</w:t>
            </w:r>
          </w:p>
          <w:p>
            <w:pPr>
              <w:pStyle w:val="13"/>
            </w:pPr>
            <w:r>
              <w:t>定工作时间</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根据工作性质对应支付相关资金的准确率</w:t>
            </w:r>
          </w:p>
        </w:tc>
        <w:tc>
          <w:tcPr>
            <w:tcW w:w="2268" w:type="dxa"/>
            <w:vAlign w:val="center"/>
          </w:tcPr>
          <w:p>
            <w:pPr>
              <w:pStyle w:val="13"/>
            </w:pPr>
            <w:r>
              <w:t>100%</w:t>
            </w:r>
          </w:p>
        </w:tc>
        <w:tc>
          <w:tcPr>
            <w:tcW w:w="1276" w:type="dxa"/>
            <w:vAlign w:val="center"/>
          </w:tcPr>
          <w:p>
            <w:pPr>
              <w:pStyle w:val="13"/>
            </w:pPr>
            <w:r>
              <w:t>符合财务管理制</w:t>
            </w:r>
          </w:p>
          <w:p>
            <w:pPr>
              <w:pStyle w:val="13"/>
            </w:pPr>
            <w:r>
              <w:t>度和内控要求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按时间进度要求支付使用资金</w:t>
            </w:r>
          </w:p>
        </w:tc>
        <w:tc>
          <w:tcPr>
            <w:tcW w:w="5386" w:type="dxa"/>
            <w:vAlign w:val="center"/>
          </w:tcPr>
          <w:p>
            <w:pPr>
              <w:pStyle w:val="13"/>
            </w:pPr>
            <w:r>
              <w:t>反映按时间进度要求支付使用资金的情况</w:t>
            </w:r>
          </w:p>
        </w:tc>
        <w:tc>
          <w:tcPr>
            <w:tcW w:w="2268" w:type="dxa"/>
            <w:vAlign w:val="center"/>
          </w:tcPr>
          <w:p>
            <w:pPr>
              <w:pStyle w:val="13"/>
            </w:pPr>
            <w:r>
              <w:t>2025年底前完成</w:t>
            </w:r>
          </w:p>
        </w:tc>
        <w:tc>
          <w:tcPr>
            <w:tcW w:w="1276" w:type="dxa"/>
            <w:vAlign w:val="center"/>
          </w:tcPr>
          <w:p>
            <w:pPr>
              <w:pStyle w:val="13"/>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w:t>
            </w:r>
          </w:p>
        </w:tc>
        <w:tc>
          <w:tcPr>
            <w:tcW w:w="5386" w:type="dxa"/>
            <w:vAlign w:val="center"/>
          </w:tcPr>
          <w:p>
            <w:pPr>
              <w:pStyle w:val="13"/>
            </w:pPr>
            <w:r>
              <w:t>反映年初预算制定运行费用情况</w:t>
            </w:r>
          </w:p>
        </w:tc>
        <w:tc>
          <w:tcPr>
            <w:tcW w:w="2268" w:type="dxa"/>
            <w:vAlign w:val="center"/>
          </w:tcPr>
          <w:p>
            <w:pPr>
              <w:pStyle w:val="13"/>
            </w:pPr>
            <w:r>
              <w:t>≤90万元</w:t>
            </w:r>
          </w:p>
        </w:tc>
        <w:tc>
          <w:tcPr>
            <w:tcW w:w="1276" w:type="dxa"/>
            <w:vAlign w:val="center"/>
          </w:tcPr>
          <w:p>
            <w:pPr>
              <w:pStyle w:val="13"/>
            </w:pPr>
            <w:r>
              <w:t>行政事业行业要求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提升公共服务质量</w:t>
            </w:r>
          </w:p>
        </w:tc>
        <w:tc>
          <w:tcPr>
            <w:tcW w:w="5386" w:type="dxa"/>
            <w:vAlign w:val="center"/>
          </w:tcPr>
          <w:p>
            <w:pPr>
              <w:pStyle w:val="13"/>
            </w:pPr>
            <w:r>
              <w:t>反映较上年增加情况</w:t>
            </w:r>
          </w:p>
        </w:tc>
        <w:tc>
          <w:tcPr>
            <w:tcW w:w="2268" w:type="dxa"/>
            <w:vAlign w:val="center"/>
          </w:tcPr>
          <w:p>
            <w:pPr>
              <w:pStyle w:val="13"/>
            </w:pPr>
            <w:r>
              <w:t>较上年增加10%</w:t>
            </w:r>
          </w:p>
        </w:tc>
        <w:tc>
          <w:tcPr>
            <w:tcW w:w="1276" w:type="dxa"/>
            <w:vAlign w:val="center"/>
          </w:tcPr>
          <w:p>
            <w:pPr>
              <w:pStyle w:val="13"/>
            </w:pPr>
            <w:r>
              <w:t>实际工作结果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机关工作人员满意率</w:t>
            </w:r>
          </w:p>
        </w:tc>
        <w:tc>
          <w:tcPr>
            <w:tcW w:w="5386" w:type="dxa"/>
            <w:vAlign w:val="center"/>
          </w:tcPr>
          <w:p>
            <w:pPr>
              <w:pStyle w:val="13"/>
            </w:pPr>
            <w:r>
              <w:t>机关工作人员满意度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4、城市容貌及环境卫生综合政治经费绩效目标表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13080025P00004110006B</w:t>
            </w:r>
          </w:p>
        </w:tc>
        <w:tc>
          <w:tcPr>
            <w:tcW w:w="2835" w:type="dxa"/>
            <w:vAlign w:val="center"/>
          </w:tcPr>
          <w:p>
            <w:pPr>
              <w:pStyle w:val="11"/>
            </w:pPr>
            <w:r>
              <w:t>项目名称</w:t>
            </w:r>
          </w:p>
        </w:tc>
        <w:tc>
          <w:tcPr>
            <w:tcW w:w="6095" w:type="dxa"/>
            <w:gridSpan w:val="3"/>
            <w:vAlign w:val="center"/>
          </w:tcPr>
          <w:p>
            <w:pPr>
              <w:pStyle w:val="13"/>
            </w:pPr>
            <w:r>
              <w:t>城市容貌及环境卫生综合政治经费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170.00</w:t>
            </w:r>
          </w:p>
        </w:tc>
        <w:tc>
          <w:tcPr>
            <w:tcW w:w="2835" w:type="dxa"/>
            <w:vAlign w:val="center"/>
          </w:tcPr>
          <w:p>
            <w:pPr>
              <w:pStyle w:val="11"/>
            </w:pPr>
            <w:r>
              <w:t>其中：财政    资金</w:t>
            </w:r>
          </w:p>
        </w:tc>
        <w:tc>
          <w:tcPr>
            <w:tcW w:w="2551" w:type="dxa"/>
            <w:vAlign w:val="center"/>
          </w:tcPr>
          <w:p>
            <w:pPr>
              <w:pStyle w:val="13"/>
            </w:pPr>
            <w:r>
              <w:t>170.00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用于支付城市容貌及环境卫生综合整治经费资金</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1.在2025年，支付政府临时安排城市容貌及环境卫生整治相关工作的所需资金170万元，完成我局文明城市创建、环境卫生治理，洁净城市创建以及政府安排的迎检、迎查五项工作，保障整治工作顺利进行和完成。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完成工程项目数量</w:t>
            </w:r>
          </w:p>
        </w:tc>
        <w:tc>
          <w:tcPr>
            <w:tcW w:w="5386" w:type="dxa"/>
            <w:vAlign w:val="center"/>
          </w:tcPr>
          <w:p>
            <w:pPr>
              <w:pStyle w:val="13"/>
            </w:pPr>
            <w:r>
              <w:t>完成我局文明城市创建、环境卫生治理，洁净城市创建以及政府安排的迎检、迎查五项工作</w:t>
            </w:r>
          </w:p>
        </w:tc>
        <w:tc>
          <w:tcPr>
            <w:tcW w:w="2268" w:type="dxa"/>
            <w:vAlign w:val="center"/>
          </w:tcPr>
          <w:p>
            <w:pPr>
              <w:pStyle w:val="13"/>
            </w:pPr>
            <w:r>
              <w:t>5项</w:t>
            </w:r>
          </w:p>
        </w:tc>
        <w:tc>
          <w:tcPr>
            <w:tcW w:w="1276" w:type="dxa"/>
            <w:vAlign w:val="center"/>
          </w:tcPr>
          <w:p>
            <w:pPr>
              <w:pStyle w:val="13"/>
            </w:pPr>
            <w:r>
              <w:t>符合政府要求安排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工作项目验收合格率</w:t>
            </w:r>
          </w:p>
        </w:tc>
        <w:tc>
          <w:tcPr>
            <w:tcW w:w="5386" w:type="dxa"/>
            <w:vAlign w:val="center"/>
          </w:tcPr>
          <w:p>
            <w:pPr>
              <w:pStyle w:val="13"/>
            </w:pPr>
            <w:r>
              <w:t>反映工作项目验收的合格率</w:t>
            </w:r>
          </w:p>
        </w:tc>
        <w:tc>
          <w:tcPr>
            <w:tcW w:w="2268" w:type="dxa"/>
            <w:vAlign w:val="center"/>
          </w:tcPr>
          <w:p>
            <w:pPr>
              <w:pStyle w:val="13"/>
            </w:pPr>
            <w:r>
              <w:t>100%</w:t>
            </w:r>
          </w:p>
        </w:tc>
        <w:tc>
          <w:tcPr>
            <w:tcW w:w="1276" w:type="dxa"/>
            <w:vAlign w:val="center"/>
          </w:tcPr>
          <w:p>
            <w:pPr>
              <w:pStyle w:val="13"/>
            </w:pPr>
            <w:r>
              <w:t>符合标准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五项工作完成及时性</w:t>
            </w:r>
          </w:p>
        </w:tc>
        <w:tc>
          <w:tcPr>
            <w:tcW w:w="5386" w:type="dxa"/>
            <w:vAlign w:val="center"/>
          </w:tcPr>
          <w:p>
            <w:pPr>
              <w:pStyle w:val="13"/>
            </w:pPr>
            <w:r>
              <w:t>反映文明城市创建、环境卫生治理，洁净城市创建以及政府安排的迎检、迎查五项工作的完成及时性</w:t>
            </w:r>
          </w:p>
        </w:tc>
        <w:tc>
          <w:tcPr>
            <w:tcW w:w="2268" w:type="dxa"/>
            <w:vAlign w:val="center"/>
          </w:tcPr>
          <w:p>
            <w:pPr>
              <w:pStyle w:val="13"/>
            </w:pPr>
            <w:r>
              <w:t>2025年12月底完成</w:t>
            </w:r>
          </w:p>
        </w:tc>
        <w:tc>
          <w:tcPr>
            <w:tcW w:w="1276" w:type="dxa"/>
            <w:vAlign w:val="center"/>
          </w:tcPr>
          <w:p>
            <w:pPr>
              <w:pStyle w:val="13"/>
            </w:pPr>
            <w:r>
              <w:t>根据工作计划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反映综合整治经费支出费用情况</w:t>
            </w:r>
          </w:p>
        </w:tc>
        <w:tc>
          <w:tcPr>
            <w:tcW w:w="2268" w:type="dxa"/>
            <w:vAlign w:val="center"/>
          </w:tcPr>
          <w:p>
            <w:pPr>
              <w:pStyle w:val="13"/>
            </w:pPr>
            <w:r>
              <w:t>≤170万元</w:t>
            </w:r>
          </w:p>
        </w:tc>
        <w:tc>
          <w:tcPr>
            <w:tcW w:w="1276" w:type="dxa"/>
            <w:vAlign w:val="center"/>
          </w:tcPr>
          <w:p>
            <w:pPr>
              <w:pStyle w:val="13"/>
            </w:pPr>
            <w:r>
              <w:t>年度计划安排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提高群众幸福感</w:t>
            </w:r>
          </w:p>
        </w:tc>
        <w:tc>
          <w:tcPr>
            <w:tcW w:w="5386" w:type="dxa"/>
            <w:vAlign w:val="center"/>
          </w:tcPr>
          <w:p>
            <w:pPr>
              <w:pStyle w:val="13"/>
            </w:pPr>
            <w:r>
              <w:t>反映群众的幸福感较上年提升情况</w:t>
            </w:r>
          </w:p>
        </w:tc>
        <w:tc>
          <w:tcPr>
            <w:tcW w:w="2268" w:type="dxa"/>
            <w:vAlign w:val="center"/>
          </w:tcPr>
          <w:p>
            <w:pPr>
              <w:pStyle w:val="13"/>
            </w:pPr>
            <w:r>
              <w:t>≥10%</w:t>
            </w:r>
          </w:p>
        </w:tc>
        <w:tc>
          <w:tcPr>
            <w:tcW w:w="1276" w:type="dxa"/>
            <w:vAlign w:val="center"/>
          </w:tcPr>
          <w:p>
            <w:pPr>
              <w:pStyle w:val="13"/>
            </w:pPr>
            <w:r>
              <w:t>实际调查结果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提高生态环境质量</w:t>
            </w:r>
          </w:p>
        </w:tc>
        <w:tc>
          <w:tcPr>
            <w:tcW w:w="5386" w:type="dxa"/>
            <w:vAlign w:val="center"/>
          </w:tcPr>
          <w:p>
            <w:pPr>
              <w:pStyle w:val="13"/>
            </w:pPr>
            <w:r>
              <w:t>反映生态环境质量较上年提升情况</w:t>
            </w:r>
          </w:p>
        </w:tc>
        <w:tc>
          <w:tcPr>
            <w:tcW w:w="2268" w:type="dxa"/>
            <w:vAlign w:val="center"/>
          </w:tcPr>
          <w:p>
            <w:pPr>
              <w:pStyle w:val="13"/>
            </w:pPr>
            <w:r>
              <w:t>≥20%</w:t>
            </w:r>
          </w:p>
        </w:tc>
        <w:tc>
          <w:tcPr>
            <w:tcW w:w="1276" w:type="dxa"/>
            <w:vAlign w:val="center"/>
          </w:tcPr>
          <w:p>
            <w:pPr>
              <w:pStyle w:val="13"/>
            </w:pPr>
            <w:r>
              <w:t>响应节能减排号召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市民满意度</w:t>
            </w:r>
          </w:p>
        </w:tc>
        <w:tc>
          <w:tcPr>
            <w:tcW w:w="5386" w:type="dxa"/>
            <w:vAlign w:val="center"/>
          </w:tcPr>
          <w:p>
            <w:pPr>
              <w:pStyle w:val="13"/>
            </w:pPr>
            <w:r>
              <w:t>反映市民的满意度情况</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5、供水水质检测绩效目标表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13080025P000046100054</w:t>
            </w:r>
          </w:p>
        </w:tc>
        <w:tc>
          <w:tcPr>
            <w:tcW w:w="2835" w:type="dxa"/>
            <w:vAlign w:val="center"/>
          </w:tcPr>
          <w:p>
            <w:pPr>
              <w:pStyle w:val="11"/>
            </w:pPr>
            <w:r>
              <w:t>项目名称</w:t>
            </w:r>
          </w:p>
        </w:tc>
        <w:tc>
          <w:tcPr>
            <w:tcW w:w="6095" w:type="dxa"/>
            <w:gridSpan w:val="3"/>
            <w:vAlign w:val="center"/>
          </w:tcPr>
          <w:p>
            <w:pPr>
              <w:pStyle w:val="13"/>
            </w:pPr>
            <w:r>
              <w:t>供水水质检测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w:t>
            </w:r>
          </w:p>
        </w:tc>
        <w:tc>
          <w:tcPr>
            <w:tcW w:w="2835" w:type="dxa"/>
            <w:vAlign w:val="center"/>
          </w:tcPr>
          <w:p>
            <w:pPr>
              <w:pStyle w:val="11"/>
            </w:pPr>
            <w:r>
              <w:t>其中：财政    资金</w:t>
            </w:r>
          </w:p>
        </w:tc>
        <w:tc>
          <w:tcPr>
            <w:tcW w:w="2551" w:type="dxa"/>
            <w:vAlign w:val="center"/>
          </w:tcPr>
          <w:p>
            <w:pPr>
              <w:pStyle w:val="13"/>
            </w:pPr>
            <w:r>
              <w:t>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用于支付供水水质检测费用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1.对全市16座公共供水企业开展2次水质检测，保障供水安全。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检测频次 </w:t>
            </w:r>
          </w:p>
        </w:tc>
        <w:tc>
          <w:tcPr>
            <w:tcW w:w="5386" w:type="dxa"/>
            <w:vAlign w:val="center"/>
          </w:tcPr>
          <w:p>
            <w:pPr>
              <w:pStyle w:val="13"/>
            </w:pPr>
            <w:r>
              <w:t>每年2次对全市16座水厂的出厂水和末梢水进行检测</w:t>
            </w:r>
          </w:p>
        </w:tc>
        <w:tc>
          <w:tcPr>
            <w:tcW w:w="2268" w:type="dxa"/>
            <w:vAlign w:val="center"/>
          </w:tcPr>
          <w:p>
            <w:pPr>
              <w:pStyle w:val="13"/>
            </w:pPr>
            <w:r>
              <w:t>2次</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检测结果</w:t>
            </w:r>
          </w:p>
        </w:tc>
        <w:tc>
          <w:tcPr>
            <w:tcW w:w="5386" w:type="dxa"/>
            <w:vAlign w:val="center"/>
          </w:tcPr>
          <w:p>
            <w:pPr>
              <w:pStyle w:val="13"/>
            </w:pPr>
            <w:r>
              <w:t>水质检测结果</w:t>
            </w:r>
          </w:p>
        </w:tc>
        <w:tc>
          <w:tcPr>
            <w:tcW w:w="2268" w:type="dxa"/>
            <w:vAlign w:val="center"/>
          </w:tcPr>
          <w:p>
            <w:pPr>
              <w:pStyle w:val="13"/>
            </w:pPr>
            <w:r>
              <w:t>≥95百分比</w:t>
            </w:r>
          </w:p>
        </w:tc>
        <w:tc>
          <w:tcPr>
            <w:tcW w:w="1276" w:type="dxa"/>
            <w:vAlign w:val="center"/>
          </w:tcPr>
          <w:p>
            <w:pPr>
              <w:pStyle w:val="13"/>
            </w:pPr>
            <w:r>
              <w:t>实际检测结果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检测任务</w:t>
            </w:r>
          </w:p>
        </w:tc>
        <w:tc>
          <w:tcPr>
            <w:tcW w:w="5386" w:type="dxa"/>
            <w:vAlign w:val="center"/>
          </w:tcPr>
          <w:p>
            <w:pPr>
              <w:pStyle w:val="13"/>
            </w:pPr>
            <w:r>
              <w:t>按时完成检测任务</w:t>
            </w:r>
          </w:p>
        </w:tc>
        <w:tc>
          <w:tcPr>
            <w:tcW w:w="2268" w:type="dxa"/>
            <w:vAlign w:val="center"/>
          </w:tcPr>
          <w:p>
            <w:pPr>
              <w:pStyle w:val="13"/>
            </w:pPr>
            <w:r>
              <w:t>2025年底前</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水质检测项目成本</w:t>
            </w:r>
          </w:p>
        </w:tc>
        <w:tc>
          <w:tcPr>
            <w:tcW w:w="2268" w:type="dxa"/>
            <w:vAlign w:val="center"/>
          </w:tcPr>
          <w:p>
            <w:pPr>
              <w:pStyle w:val="13"/>
            </w:pPr>
            <w:r>
              <w:t>≤17万元</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保障水质安全</w:t>
            </w:r>
          </w:p>
        </w:tc>
        <w:tc>
          <w:tcPr>
            <w:tcW w:w="5386" w:type="dxa"/>
            <w:vAlign w:val="center"/>
          </w:tcPr>
          <w:p>
            <w:pPr>
              <w:pStyle w:val="13"/>
            </w:pPr>
            <w:r>
              <w:t>针对检测报告交办问题，督促整改</w:t>
            </w:r>
          </w:p>
        </w:tc>
        <w:tc>
          <w:tcPr>
            <w:tcW w:w="2268" w:type="dxa"/>
            <w:vAlign w:val="center"/>
          </w:tcPr>
          <w:p>
            <w:pPr>
              <w:pStyle w:val="13"/>
            </w:pPr>
            <w:r>
              <w:t>检测结果</w:t>
            </w:r>
          </w:p>
        </w:tc>
        <w:tc>
          <w:tcPr>
            <w:tcW w:w="1276" w:type="dxa"/>
            <w:vAlign w:val="center"/>
          </w:tcPr>
          <w:p>
            <w:pPr>
              <w:pStyle w:val="13"/>
            </w:pPr>
            <w:r>
              <w:t>项目检测结果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供水安全</w:t>
            </w:r>
          </w:p>
        </w:tc>
        <w:tc>
          <w:tcPr>
            <w:tcW w:w="5386" w:type="dxa"/>
            <w:vAlign w:val="center"/>
          </w:tcPr>
          <w:p>
            <w:pPr>
              <w:pStyle w:val="13"/>
            </w:pPr>
            <w:r>
              <w:t>提升供水水质安全</w:t>
            </w:r>
          </w:p>
        </w:tc>
        <w:tc>
          <w:tcPr>
            <w:tcW w:w="2268" w:type="dxa"/>
            <w:vAlign w:val="center"/>
          </w:tcPr>
          <w:p>
            <w:pPr>
              <w:pStyle w:val="13"/>
            </w:pPr>
            <w:r>
              <w:t>≥95百分比</w:t>
            </w:r>
          </w:p>
        </w:tc>
        <w:tc>
          <w:tcPr>
            <w:tcW w:w="1276" w:type="dxa"/>
            <w:vAlign w:val="center"/>
          </w:tcPr>
          <w:p>
            <w:pPr>
              <w:pStyle w:val="13"/>
            </w:pPr>
            <w:r>
              <w:t>实际检测结果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提供长期稳定服务</w:t>
            </w:r>
          </w:p>
        </w:tc>
        <w:tc>
          <w:tcPr>
            <w:tcW w:w="5386" w:type="dxa"/>
            <w:vAlign w:val="center"/>
          </w:tcPr>
          <w:p>
            <w:pPr>
              <w:pStyle w:val="13"/>
            </w:pPr>
            <w:r>
              <w:t>保障供水安全</w:t>
            </w:r>
          </w:p>
        </w:tc>
        <w:tc>
          <w:tcPr>
            <w:tcW w:w="2268" w:type="dxa"/>
            <w:vAlign w:val="center"/>
          </w:tcPr>
          <w:p>
            <w:pPr>
              <w:pStyle w:val="13"/>
            </w:pPr>
            <w:r>
              <w:t>安全稳定供水</w:t>
            </w:r>
          </w:p>
        </w:tc>
        <w:tc>
          <w:tcPr>
            <w:tcW w:w="1276" w:type="dxa"/>
            <w:vAlign w:val="center"/>
          </w:tcPr>
          <w:p>
            <w:pPr>
              <w:pStyle w:val="13"/>
            </w:pPr>
            <w:r>
              <w:t>实际检测结果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被检测单位满意度</w:t>
            </w:r>
          </w:p>
        </w:tc>
        <w:tc>
          <w:tcPr>
            <w:tcW w:w="2268" w:type="dxa"/>
            <w:vAlign w:val="center"/>
          </w:tcPr>
          <w:p>
            <w:pPr>
              <w:pStyle w:val="13"/>
            </w:pPr>
            <w:r>
              <w:t>≥90百分比</w:t>
            </w:r>
          </w:p>
        </w:tc>
        <w:tc>
          <w:tcPr>
            <w:tcW w:w="1276" w:type="dxa"/>
            <w:vAlign w:val="center"/>
          </w:tcPr>
          <w:p>
            <w:pPr>
              <w:pStyle w:val="13"/>
            </w:pPr>
            <w:r>
              <w:t>实际调查结果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6、公益性亮化电费补助绩效目标表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13080025P00003910005X</w:t>
            </w:r>
          </w:p>
        </w:tc>
        <w:tc>
          <w:tcPr>
            <w:tcW w:w="2835" w:type="dxa"/>
            <w:vAlign w:val="center"/>
          </w:tcPr>
          <w:p>
            <w:pPr>
              <w:pStyle w:val="11"/>
            </w:pPr>
            <w:r>
              <w:t>项目名称</w:t>
            </w:r>
          </w:p>
        </w:tc>
        <w:tc>
          <w:tcPr>
            <w:tcW w:w="6095" w:type="dxa"/>
            <w:gridSpan w:val="3"/>
            <w:vAlign w:val="center"/>
          </w:tcPr>
          <w:p>
            <w:pPr>
              <w:pStyle w:val="13"/>
            </w:pPr>
            <w:r>
              <w:t>公益性亮化电费补助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w:t>
            </w:r>
          </w:p>
        </w:tc>
        <w:tc>
          <w:tcPr>
            <w:tcW w:w="2835" w:type="dxa"/>
            <w:vAlign w:val="center"/>
          </w:tcPr>
          <w:p>
            <w:pPr>
              <w:pStyle w:val="11"/>
            </w:pPr>
            <w:r>
              <w:t>其中：财政    资金</w:t>
            </w:r>
          </w:p>
        </w:tc>
        <w:tc>
          <w:tcPr>
            <w:tcW w:w="2551" w:type="dxa"/>
            <w:vAlign w:val="center"/>
          </w:tcPr>
          <w:p>
            <w:pPr>
              <w:pStyle w:val="13"/>
            </w:pPr>
            <w:r>
              <w:t>180.00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用于支付公益性亮化电费补助资金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1.2025年支付180万元电费，对公益性亮化点位（6处）设施所需费用进行补助，保障市区公益性亮化项目电费和住宅小区等公益项目电费。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项目总成本</w:t>
            </w:r>
          </w:p>
          <w:p>
            <w:pPr>
              <w:pStyle w:val="13"/>
            </w:pPr>
          </w:p>
        </w:tc>
        <w:tc>
          <w:tcPr>
            <w:tcW w:w="5386" w:type="dxa"/>
            <w:vAlign w:val="center"/>
          </w:tcPr>
          <w:p>
            <w:pPr>
              <w:pStyle w:val="13"/>
            </w:pPr>
            <w:r>
              <w:t>反映公益性亮化电费补助所需资金数额</w:t>
            </w:r>
          </w:p>
        </w:tc>
        <w:tc>
          <w:tcPr>
            <w:tcW w:w="2268" w:type="dxa"/>
            <w:vAlign w:val="center"/>
          </w:tcPr>
          <w:p>
            <w:pPr>
              <w:pStyle w:val="13"/>
            </w:pPr>
            <w:r>
              <w:t>≤180万元</w:t>
            </w:r>
          </w:p>
        </w:tc>
        <w:tc>
          <w:tcPr>
            <w:tcW w:w="1276" w:type="dxa"/>
            <w:vAlign w:val="center"/>
          </w:tcPr>
          <w:p>
            <w:pPr>
              <w:pStyle w:val="13"/>
            </w:pPr>
            <w:r>
              <w:t>年初预算安排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补助亮化点位数量</w:t>
            </w:r>
          </w:p>
          <w:p>
            <w:pPr>
              <w:pStyle w:val="13"/>
            </w:pPr>
          </w:p>
        </w:tc>
        <w:tc>
          <w:tcPr>
            <w:tcW w:w="5386" w:type="dxa"/>
            <w:vAlign w:val="center"/>
          </w:tcPr>
          <w:p>
            <w:pPr>
              <w:pStyle w:val="13"/>
            </w:pPr>
            <w:r>
              <w:t>反映补助亮化点位的数量</w:t>
            </w:r>
          </w:p>
          <w:p>
            <w:pPr>
              <w:pStyle w:val="13"/>
            </w:pPr>
          </w:p>
        </w:tc>
        <w:tc>
          <w:tcPr>
            <w:tcW w:w="2268" w:type="dxa"/>
            <w:vAlign w:val="center"/>
          </w:tcPr>
          <w:p>
            <w:pPr>
              <w:pStyle w:val="13"/>
            </w:pPr>
            <w:r>
              <w:t>6处</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补助支出准确率</w:t>
            </w:r>
          </w:p>
          <w:p>
            <w:pPr>
              <w:pStyle w:val="13"/>
            </w:pPr>
          </w:p>
        </w:tc>
        <w:tc>
          <w:tcPr>
            <w:tcW w:w="5386" w:type="dxa"/>
            <w:vAlign w:val="center"/>
          </w:tcPr>
          <w:p>
            <w:pPr>
              <w:pStyle w:val="13"/>
            </w:pPr>
            <w:r>
              <w:t>反映该资金补助支出的准确率</w:t>
            </w:r>
          </w:p>
          <w:p>
            <w:pPr>
              <w:pStyle w:val="13"/>
            </w:pPr>
          </w:p>
        </w:tc>
        <w:tc>
          <w:tcPr>
            <w:tcW w:w="2268" w:type="dxa"/>
            <w:vAlign w:val="center"/>
          </w:tcPr>
          <w:p>
            <w:pPr>
              <w:pStyle w:val="13"/>
            </w:pPr>
            <w:r>
              <w:t>100%</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根据用电情况按季度完成电费支出</w:t>
            </w:r>
          </w:p>
          <w:p>
            <w:pPr>
              <w:pStyle w:val="13"/>
            </w:pPr>
          </w:p>
        </w:tc>
        <w:tc>
          <w:tcPr>
            <w:tcW w:w="5386" w:type="dxa"/>
            <w:vAlign w:val="center"/>
          </w:tcPr>
          <w:p>
            <w:pPr>
              <w:pStyle w:val="13"/>
            </w:pPr>
            <w:r>
              <w:t>根据用电情况按季度完成电费支出</w:t>
            </w:r>
          </w:p>
          <w:p>
            <w:pPr>
              <w:pStyle w:val="13"/>
            </w:pPr>
          </w:p>
        </w:tc>
        <w:tc>
          <w:tcPr>
            <w:tcW w:w="2268" w:type="dxa"/>
            <w:vAlign w:val="center"/>
          </w:tcPr>
          <w:p>
            <w:pPr>
              <w:pStyle w:val="13"/>
            </w:pPr>
            <w:r>
              <w:t>每季度末</w:t>
            </w:r>
          </w:p>
        </w:tc>
        <w:tc>
          <w:tcPr>
            <w:tcW w:w="1276" w:type="dxa"/>
            <w:vAlign w:val="center"/>
          </w:tcPr>
          <w:p>
            <w:pPr>
              <w:pStyle w:val="13"/>
            </w:pPr>
            <w:r>
              <w:t>根据用电情况按季度完成电费支出</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保障夜间亮化正常开展率</w:t>
            </w:r>
          </w:p>
        </w:tc>
        <w:tc>
          <w:tcPr>
            <w:tcW w:w="5386" w:type="dxa"/>
            <w:vAlign w:val="center"/>
          </w:tcPr>
          <w:p>
            <w:pPr>
              <w:pStyle w:val="13"/>
            </w:pPr>
            <w:r>
              <w:t>通过按时缴纳电费保障夜间亮化正常开展</w:t>
            </w:r>
          </w:p>
        </w:tc>
        <w:tc>
          <w:tcPr>
            <w:tcW w:w="2268" w:type="dxa"/>
            <w:vAlign w:val="center"/>
          </w:tcPr>
          <w:p>
            <w:pPr>
              <w:pStyle w:val="13"/>
            </w:pPr>
            <w:r>
              <w:t>≥90%</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提供长期稳定服务</w:t>
            </w:r>
          </w:p>
        </w:tc>
        <w:tc>
          <w:tcPr>
            <w:tcW w:w="5386" w:type="dxa"/>
            <w:vAlign w:val="center"/>
          </w:tcPr>
          <w:p>
            <w:pPr>
              <w:pStyle w:val="13"/>
            </w:pPr>
            <w:r>
              <w:t>通过缴纳电费能够长期稳</w:t>
            </w:r>
          </w:p>
          <w:p>
            <w:pPr>
              <w:pStyle w:val="13"/>
            </w:pPr>
            <w:r>
              <w:t>定保障公益性亮化顺利进行，保障夜间亮化正常运转</w:t>
            </w:r>
          </w:p>
          <w:p>
            <w:pPr>
              <w:pStyle w:val="13"/>
            </w:pPr>
          </w:p>
        </w:tc>
        <w:tc>
          <w:tcPr>
            <w:tcW w:w="2268" w:type="dxa"/>
            <w:vAlign w:val="center"/>
          </w:tcPr>
          <w:p>
            <w:pPr>
              <w:pStyle w:val="13"/>
            </w:pPr>
            <w:r>
              <w:t>≥1年</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社会公众满意情况</w:t>
            </w:r>
          </w:p>
          <w:p>
            <w:pPr>
              <w:pStyle w:val="13"/>
            </w:pPr>
          </w:p>
        </w:tc>
        <w:tc>
          <w:tcPr>
            <w:tcW w:w="5386" w:type="dxa"/>
            <w:vAlign w:val="center"/>
          </w:tcPr>
          <w:p>
            <w:pPr>
              <w:pStyle w:val="13"/>
            </w:pPr>
            <w:r>
              <w:t>社会公众满意情况</w:t>
            </w:r>
          </w:p>
          <w:p>
            <w:pPr>
              <w:pStyle w:val="13"/>
            </w:pP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7、排水水质检测绩效目标表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13080025P000048100063</w:t>
            </w:r>
          </w:p>
        </w:tc>
        <w:tc>
          <w:tcPr>
            <w:tcW w:w="2835" w:type="dxa"/>
            <w:vAlign w:val="center"/>
          </w:tcPr>
          <w:p>
            <w:pPr>
              <w:pStyle w:val="11"/>
            </w:pPr>
            <w:r>
              <w:t>项目名称</w:t>
            </w:r>
          </w:p>
        </w:tc>
        <w:tc>
          <w:tcPr>
            <w:tcW w:w="6095" w:type="dxa"/>
            <w:gridSpan w:val="3"/>
            <w:vAlign w:val="center"/>
          </w:tcPr>
          <w:p>
            <w:pPr>
              <w:pStyle w:val="13"/>
            </w:pPr>
            <w:r>
              <w:t>排水水质检测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用于排水水质检测费用</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1.在2025年支付资金8万元，对市城管局管辖区域污水排放进行检测、分析和评估，为《城镇污水排入排水管网许可证》的管理提供科学依据，保障排水安全和污水处理安全。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出具检测报告数量</w:t>
            </w:r>
          </w:p>
        </w:tc>
        <w:tc>
          <w:tcPr>
            <w:tcW w:w="5386" w:type="dxa"/>
            <w:vAlign w:val="center"/>
          </w:tcPr>
          <w:p>
            <w:pPr>
              <w:pStyle w:val="13"/>
            </w:pPr>
            <w:r>
              <w:t>出具相关的检测报告</w:t>
            </w:r>
          </w:p>
        </w:tc>
        <w:tc>
          <w:tcPr>
            <w:tcW w:w="2268" w:type="dxa"/>
            <w:vAlign w:val="center"/>
          </w:tcPr>
          <w:p>
            <w:pPr>
              <w:pStyle w:val="13"/>
            </w:pPr>
            <w:r>
              <w:t>≥120次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按标准完成检测率</w:t>
            </w:r>
          </w:p>
        </w:tc>
        <w:tc>
          <w:tcPr>
            <w:tcW w:w="5386" w:type="dxa"/>
            <w:vAlign w:val="center"/>
          </w:tcPr>
          <w:p>
            <w:pPr>
              <w:pStyle w:val="13"/>
            </w:pPr>
            <w:r>
              <w:t>区域内城镇污水排放达标率</w:t>
            </w:r>
          </w:p>
        </w:tc>
        <w:tc>
          <w:tcPr>
            <w:tcW w:w="2268" w:type="dxa"/>
            <w:vAlign w:val="center"/>
          </w:tcPr>
          <w:p>
            <w:pPr>
              <w:pStyle w:val="13"/>
            </w:pPr>
            <w:r>
              <w:t>100%</w:t>
            </w:r>
          </w:p>
        </w:tc>
        <w:tc>
          <w:tcPr>
            <w:tcW w:w="1276" w:type="dxa"/>
            <w:vAlign w:val="center"/>
          </w:tcPr>
          <w:p>
            <w:pPr>
              <w:pStyle w:val="13"/>
            </w:pPr>
            <w:r>
              <w:t>实际检测结果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按期完成检测工作</w:t>
            </w:r>
          </w:p>
        </w:tc>
        <w:tc>
          <w:tcPr>
            <w:tcW w:w="5386" w:type="dxa"/>
            <w:vAlign w:val="center"/>
          </w:tcPr>
          <w:p>
            <w:pPr>
              <w:pStyle w:val="13"/>
            </w:pPr>
            <w:r>
              <w:t>按期完成检测工作，并出具检测报告</w:t>
            </w:r>
          </w:p>
        </w:tc>
        <w:tc>
          <w:tcPr>
            <w:tcW w:w="2268" w:type="dxa"/>
            <w:vAlign w:val="center"/>
          </w:tcPr>
          <w:p>
            <w:pPr>
              <w:pStyle w:val="13"/>
            </w:pPr>
            <w:r>
              <w:t>2025年底前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资金总成本</w:t>
            </w:r>
          </w:p>
        </w:tc>
        <w:tc>
          <w:tcPr>
            <w:tcW w:w="5386" w:type="dxa"/>
            <w:vAlign w:val="center"/>
          </w:tcPr>
          <w:p>
            <w:pPr>
              <w:pStyle w:val="13"/>
            </w:pPr>
            <w:r>
              <w:t>排水水质检测资金总成本</w:t>
            </w:r>
          </w:p>
        </w:tc>
        <w:tc>
          <w:tcPr>
            <w:tcW w:w="2268" w:type="dxa"/>
            <w:vAlign w:val="center"/>
          </w:tcPr>
          <w:p>
            <w:pPr>
              <w:pStyle w:val="13"/>
            </w:pPr>
            <w:r>
              <w:t>≤8万元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落实项目问题整改数量</w:t>
            </w:r>
          </w:p>
        </w:tc>
        <w:tc>
          <w:tcPr>
            <w:tcW w:w="5386" w:type="dxa"/>
            <w:vAlign w:val="center"/>
          </w:tcPr>
          <w:p>
            <w:pPr>
              <w:pStyle w:val="13"/>
            </w:pPr>
            <w:r>
              <w:t>针对第三方机构出具报告中存在的问题，落实项目存在问题整改情况</w:t>
            </w:r>
          </w:p>
        </w:tc>
        <w:tc>
          <w:tcPr>
            <w:tcW w:w="2268" w:type="dxa"/>
            <w:vAlign w:val="center"/>
          </w:tcPr>
          <w:p>
            <w:pPr>
              <w:pStyle w:val="13"/>
            </w:pPr>
            <w:r>
              <w:t>≤5个</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较聘请前提升工作效率</w:t>
            </w:r>
          </w:p>
        </w:tc>
        <w:tc>
          <w:tcPr>
            <w:tcW w:w="5386" w:type="dxa"/>
            <w:vAlign w:val="center"/>
          </w:tcPr>
          <w:p>
            <w:pPr>
              <w:pStyle w:val="13"/>
            </w:pPr>
            <w:r>
              <w:t>第三方机构按时、保质保量的完成排水水质检测工作</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排水户满意度</w:t>
            </w:r>
          </w:p>
        </w:tc>
        <w:tc>
          <w:tcPr>
            <w:tcW w:w="5386" w:type="dxa"/>
            <w:vAlign w:val="center"/>
          </w:tcPr>
          <w:p>
            <w:pPr>
              <w:pStyle w:val="13"/>
            </w:pPr>
            <w:r>
              <w:t>排水户满意度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9、数字化城管平台系统运维项目绩效目标表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13080025P00004010006M</w:t>
            </w:r>
          </w:p>
        </w:tc>
        <w:tc>
          <w:tcPr>
            <w:tcW w:w="2835" w:type="dxa"/>
            <w:vAlign w:val="center"/>
          </w:tcPr>
          <w:p>
            <w:pPr>
              <w:pStyle w:val="11"/>
            </w:pPr>
            <w:r>
              <w:t>项目名称</w:t>
            </w:r>
          </w:p>
        </w:tc>
        <w:tc>
          <w:tcPr>
            <w:tcW w:w="6095" w:type="dxa"/>
            <w:gridSpan w:val="3"/>
            <w:vAlign w:val="center"/>
          </w:tcPr>
          <w:p>
            <w:pPr>
              <w:pStyle w:val="13"/>
            </w:pPr>
            <w:r>
              <w:t>数字化城管平台系统运维项目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290.00</w:t>
            </w:r>
          </w:p>
        </w:tc>
        <w:tc>
          <w:tcPr>
            <w:tcW w:w="2835" w:type="dxa"/>
            <w:vAlign w:val="center"/>
          </w:tcPr>
          <w:p>
            <w:pPr>
              <w:pStyle w:val="11"/>
            </w:pPr>
            <w:r>
              <w:t>其中：财政    资金</w:t>
            </w:r>
          </w:p>
        </w:tc>
        <w:tc>
          <w:tcPr>
            <w:tcW w:w="2551" w:type="dxa"/>
            <w:vAlign w:val="center"/>
          </w:tcPr>
          <w:p>
            <w:pPr>
              <w:pStyle w:val="13"/>
            </w:pPr>
            <w:r>
              <w:t>290.00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用于支付数字化城管平台系统运维项目资金</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1.目的是通过该项目的实施，保障各系统正常运行，利用信息化技术手段实现提升城市管理水平。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维护系统数量</w:t>
            </w:r>
          </w:p>
        </w:tc>
        <w:tc>
          <w:tcPr>
            <w:tcW w:w="5386" w:type="dxa"/>
            <w:vAlign w:val="center"/>
          </w:tcPr>
          <w:p>
            <w:pPr>
              <w:pStyle w:val="13"/>
            </w:pPr>
            <w:r>
              <w:t>反映维护系统数量</w:t>
            </w:r>
          </w:p>
          <w:p>
            <w:pPr>
              <w:pStyle w:val="13"/>
            </w:pPr>
          </w:p>
          <w:p>
            <w:pPr>
              <w:pStyle w:val="13"/>
            </w:pPr>
          </w:p>
        </w:tc>
        <w:tc>
          <w:tcPr>
            <w:tcW w:w="2268" w:type="dxa"/>
            <w:vAlign w:val="center"/>
          </w:tcPr>
          <w:p>
            <w:pPr>
              <w:pStyle w:val="13"/>
            </w:pPr>
            <w:r>
              <w:t>2套</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系统故障排除率</w:t>
            </w:r>
          </w:p>
        </w:tc>
        <w:tc>
          <w:tcPr>
            <w:tcW w:w="5386" w:type="dxa"/>
            <w:vAlign w:val="center"/>
          </w:tcPr>
          <w:p>
            <w:pPr>
              <w:pStyle w:val="13"/>
            </w:pPr>
            <w:r>
              <w:t>反映系统故障排除情况</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系统（软件）更新升级时间</w:t>
            </w:r>
          </w:p>
        </w:tc>
        <w:tc>
          <w:tcPr>
            <w:tcW w:w="5386" w:type="dxa"/>
            <w:vAlign w:val="center"/>
          </w:tcPr>
          <w:p>
            <w:pPr>
              <w:pStyle w:val="13"/>
            </w:pPr>
            <w:r>
              <w:t>反映系统更新升级按计划时间完成，满足实际工作开展需要</w:t>
            </w:r>
          </w:p>
        </w:tc>
        <w:tc>
          <w:tcPr>
            <w:tcW w:w="2268" w:type="dxa"/>
            <w:vAlign w:val="center"/>
          </w:tcPr>
          <w:p>
            <w:pPr>
              <w:pStyle w:val="13"/>
            </w:pPr>
            <w:r>
              <w:t>2025年12月31日前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年度维护成本增长率</w:t>
            </w:r>
          </w:p>
        </w:tc>
        <w:tc>
          <w:tcPr>
            <w:tcW w:w="5386" w:type="dxa"/>
            <w:vAlign w:val="center"/>
          </w:tcPr>
          <w:p>
            <w:pPr>
              <w:pStyle w:val="13"/>
            </w:pPr>
            <w:r>
              <w:t>反映年度维护成本情况</w:t>
            </w:r>
          </w:p>
        </w:tc>
        <w:tc>
          <w:tcPr>
            <w:tcW w:w="2268" w:type="dxa"/>
            <w:vAlign w:val="center"/>
          </w:tcPr>
          <w:p>
            <w:pPr>
              <w:pStyle w:val="13"/>
            </w:pPr>
            <w:r>
              <w:t>≤50%</w:t>
            </w:r>
          </w:p>
        </w:tc>
        <w:tc>
          <w:tcPr>
            <w:tcW w:w="1276" w:type="dxa"/>
            <w:vAlign w:val="center"/>
          </w:tcPr>
          <w:p>
            <w:pPr>
              <w:pStyle w:val="13"/>
            </w:pPr>
            <w:r>
              <w:t>招标价格或合同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故障重复发生率</w:t>
            </w:r>
          </w:p>
        </w:tc>
        <w:tc>
          <w:tcPr>
            <w:tcW w:w="5386" w:type="dxa"/>
            <w:vAlign w:val="center"/>
          </w:tcPr>
          <w:p>
            <w:pPr>
              <w:pStyle w:val="13"/>
            </w:pPr>
            <w:r>
              <w:t>反映系统运维后相同故障再次发生情况</w:t>
            </w:r>
          </w:p>
        </w:tc>
        <w:tc>
          <w:tcPr>
            <w:tcW w:w="2268" w:type="dxa"/>
            <w:vAlign w:val="center"/>
          </w:tcPr>
          <w:p>
            <w:pPr>
              <w:pStyle w:val="13"/>
            </w:pPr>
            <w:r>
              <w:t>≤5%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反映使用人员对相关信息系统的满意情况</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10、数字化城市管理监督检查信息采集服务项目绩效目标表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13080024P00007310005A</w:t>
            </w:r>
          </w:p>
        </w:tc>
        <w:tc>
          <w:tcPr>
            <w:tcW w:w="2835" w:type="dxa"/>
            <w:vAlign w:val="center"/>
          </w:tcPr>
          <w:p>
            <w:pPr>
              <w:pStyle w:val="11"/>
            </w:pPr>
            <w:r>
              <w:t>项目名称</w:t>
            </w:r>
          </w:p>
        </w:tc>
        <w:tc>
          <w:tcPr>
            <w:tcW w:w="6095" w:type="dxa"/>
            <w:gridSpan w:val="3"/>
            <w:vAlign w:val="center"/>
          </w:tcPr>
          <w:p>
            <w:pPr>
              <w:pStyle w:val="13"/>
            </w:pPr>
            <w:r>
              <w:t>数字化城市管理监督检查信息采集服务项目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87.62</w:t>
            </w:r>
          </w:p>
        </w:tc>
        <w:tc>
          <w:tcPr>
            <w:tcW w:w="2835" w:type="dxa"/>
            <w:vAlign w:val="center"/>
          </w:tcPr>
          <w:p>
            <w:pPr>
              <w:pStyle w:val="11"/>
            </w:pPr>
            <w:r>
              <w:t>其中：财政    资金</w:t>
            </w:r>
          </w:p>
        </w:tc>
        <w:tc>
          <w:tcPr>
            <w:tcW w:w="2551" w:type="dxa"/>
            <w:vAlign w:val="center"/>
          </w:tcPr>
          <w:p>
            <w:pPr>
              <w:pStyle w:val="13"/>
            </w:pPr>
            <w:r>
              <w:t>87.62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用于支付数字化城管信息采集费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95%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1.在2025年度内，花费87.62万元，通过数字化城市管理监督检查信息采集服务项目，运用好数字化城管这一现代化手段，可以切实提高城市管理水平，推动城市化管理精细化。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发现问题数</w:t>
            </w:r>
          </w:p>
        </w:tc>
        <w:tc>
          <w:tcPr>
            <w:tcW w:w="5386" w:type="dxa"/>
            <w:vAlign w:val="center"/>
          </w:tcPr>
          <w:p>
            <w:pPr>
              <w:pStyle w:val="13"/>
            </w:pPr>
            <w:r>
              <w:t>实际发现城市管理问题案件数</w:t>
            </w:r>
          </w:p>
        </w:tc>
        <w:tc>
          <w:tcPr>
            <w:tcW w:w="2268" w:type="dxa"/>
            <w:vAlign w:val="center"/>
          </w:tcPr>
          <w:p>
            <w:pPr>
              <w:pStyle w:val="13"/>
            </w:pPr>
            <w:r>
              <w:t>≥7万件</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信息采集上报率</w:t>
            </w:r>
          </w:p>
        </w:tc>
        <w:tc>
          <w:tcPr>
            <w:tcW w:w="5386" w:type="dxa"/>
            <w:vAlign w:val="center"/>
          </w:tcPr>
          <w:p>
            <w:pPr>
              <w:pStyle w:val="13"/>
            </w:pPr>
            <w:r>
              <w:t>信息采集员有效上报率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按时派遣处理</w:t>
            </w:r>
          </w:p>
        </w:tc>
        <w:tc>
          <w:tcPr>
            <w:tcW w:w="5386" w:type="dxa"/>
            <w:vAlign w:val="center"/>
          </w:tcPr>
          <w:p>
            <w:pPr>
              <w:pStyle w:val="13"/>
            </w:pPr>
            <w:r>
              <w:t>对发现的问题及时处理所需时间</w:t>
            </w:r>
          </w:p>
        </w:tc>
        <w:tc>
          <w:tcPr>
            <w:tcW w:w="2268" w:type="dxa"/>
            <w:vAlign w:val="center"/>
          </w:tcPr>
          <w:p>
            <w:pPr>
              <w:pStyle w:val="13"/>
            </w:pPr>
            <w:r>
              <w:t>≤1小时</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城市管理监督检查信息采集服务项目总成本</w:t>
            </w:r>
          </w:p>
        </w:tc>
        <w:tc>
          <w:tcPr>
            <w:tcW w:w="2268" w:type="dxa"/>
            <w:vAlign w:val="center"/>
          </w:tcPr>
          <w:p>
            <w:pPr>
              <w:pStyle w:val="13"/>
            </w:pPr>
            <w:r>
              <w:t>≤87.62万元</w:t>
            </w:r>
          </w:p>
        </w:tc>
        <w:tc>
          <w:tcPr>
            <w:tcW w:w="1276" w:type="dxa"/>
            <w:vAlign w:val="center"/>
          </w:tcPr>
          <w:p>
            <w:pPr>
              <w:pStyle w:val="13"/>
            </w:pPr>
            <w:r>
              <w:t>招标价格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使用第三方后工作提升</w:t>
            </w:r>
          </w:p>
        </w:tc>
        <w:tc>
          <w:tcPr>
            <w:tcW w:w="5386" w:type="dxa"/>
            <w:vAlign w:val="center"/>
          </w:tcPr>
          <w:p>
            <w:pPr>
              <w:pStyle w:val="13"/>
            </w:pPr>
            <w:r>
              <w:t>反映聘请第三方前后工作准确性的提升率</w:t>
            </w:r>
          </w:p>
        </w:tc>
        <w:tc>
          <w:tcPr>
            <w:tcW w:w="2268" w:type="dxa"/>
            <w:vAlign w:val="center"/>
          </w:tcPr>
          <w:p>
            <w:pPr>
              <w:pStyle w:val="13"/>
            </w:pPr>
            <w:r>
              <w:t>≥50%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持续提升工作效率</w:t>
            </w:r>
          </w:p>
        </w:tc>
        <w:tc>
          <w:tcPr>
            <w:tcW w:w="5386" w:type="dxa"/>
            <w:vAlign w:val="center"/>
          </w:tcPr>
          <w:p>
            <w:pPr>
              <w:pStyle w:val="13"/>
            </w:pPr>
            <w:r>
              <w:t>反映发现并解决问题的效率提升情况</w:t>
            </w:r>
          </w:p>
        </w:tc>
        <w:tc>
          <w:tcPr>
            <w:tcW w:w="2268" w:type="dxa"/>
            <w:vAlign w:val="center"/>
          </w:tcPr>
          <w:p>
            <w:pPr>
              <w:pStyle w:val="13"/>
            </w:pPr>
            <w:r>
              <w:t>≥30%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社会群众满意度</w:t>
            </w:r>
          </w:p>
        </w:tc>
        <w:tc>
          <w:tcPr>
            <w:tcW w:w="5386" w:type="dxa"/>
            <w:vAlign w:val="center"/>
          </w:tcPr>
          <w:p>
            <w:pPr>
              <w:pStyle w:val="13"/>
            </w:pPr>
            <w:r>
              <w:t>社会群众对信息采集服务的满意度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11、数字化城市管理监督检查信息采集服务项目绩效目标表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13080025P00004710006D</w:t>
            </w:r>
          </w:p>
        </w:tc>
        <w:tc>
          <w:tcPr>
            <w:tcW w:w="2835" w:type="dxa"/>
            <w:vAlign w:val="center"/>
          </w:tcPr>
          <w:p>
            <w:pPr>
              <w:pStyle w:val="11"/>
            </w:pPr>
            <w:r>
              <w:t>项目名称</w:t>
            </w:r>
          </w:p>
        </w:tc>
        <w:tc>
          <w:tcPr>
            <w:tcW w:w="6095" w:type="dxa"/>
            <w:gridSpan w:val="3"/>
            <w:vAlign w:val="center"/>
          </w:tcPr>
          <w:p>
            <w:pPr>
              <w:pStyle w:val="13"/>
            </w:pPr>
            <w:r>
              <w:t>数字化城市管理监督检查信息采集服务项目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315.36</w:t>
            </w:r>
          </w:p>
        </w:tc>
        <w:tc>
          <w:tcPr>
            <w:tcW w:w="2835" w:type="dxa"/>
            <w:vAlign w:val="center"/>
          </w:tcPr>
          <w:p>
            <w:pPr>
              <w:pStyle w:val="11"/>
            </w:pPr>
            <w:r>
              <w:t>其中：财政    资金</w:t>
            </w:r>
          </w:p>
        </w:tc>
        <w:tc>
          <w:tcPr>
            <w:tcW w:w="2551" w:type="dxa"/>
            <w:vAlign w:val="center"/>
          </w:tcPr>
          <w:p>
            <w:pPr>
              <w:pStyle w:val="13"/>
            </w:pPr>
            <w:r>
              <w:t>315.36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用于支付数字化城市管理监督检查信息采集服务项目资金</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1.通过数字化城市管理监督检查信息采集服务项目，运用好数字化城管这一现代化手段，可以切实提高城市管理水平，推动城市化管理精细化。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聘请第三方机构数</w:t>
            </w:r>
          </w:p>
        </w:tc>
        <w:tc>
          <w:tcPr>
            <w:tcW w:w="5386" w:type="dxa"/>
            <w:vAlign w:val="center"/>
          </w:tcPr>
          <w:p>
            <w:pPr>
              <w:pStyle w:val="13"/>
            </w:pPr>
            <w:r>
              <w:t>聘请第三方机构数</w:t>
            </w:r>
          </w:p>
        </w:tc>
        <w:tc>
          <w:tcPr>
            <w:tcW w:w="2268" w:type="dxa"/>
            <w:vAlign w:val="center"/>
          </w:tcPr>
          <w:p>
            <w:pPr>
              <w:pStyle w:val="13"/>
            </w:pPr>
            <w:r>
              <w:t>1个</w:t>
            </w:r>
          </w:p>
        </w:tc>
        <w:tc>
          <w:tcPr>
            <w:tcW w:w="1276" w:type="dxa"/>
            <w:vAlign w:val="center"/>
          </w:tcPr>
          <w:p>
            <w:pPr>
              <w:pStyle w:val="13"/>
            </w:pPr>
            <w:r>
              <w:t>年初目标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第三方机构资质达标率</w:t>
            </w:r>
          </w:p>
        </w:tc>
        <w:tc>
          <w:tcPr>
            <w:tcW w:w="5386" w:type="dxa"/>
            <w:vAlign w:val="center"/>
          </w:tcPr>
          <w:p>
            <w:pPr>
              <w:pStyle w:val="13"/>
            </w:pPr>
            <w:r>
              <w:t>第三方机构资质验收达标情况</w:t>
            </w:r>
          </w:p>
        </w:tc>
        <w:tc>
          <w:tcPr>
            <w:tcW w:w="2268" w:type="dxa"/>
            <w:vAlign w:val="center"/>
          </w:tcPr>
          <w:p>
            <w:pPr>
              <w:pStyle w:val="13"/>
            </w:pPr>
            <w:r>
              <w:t>100%</w:t>
            </w:r>
          </w:p>
        </w:tc>
        <w:tc>
          <w:tcPr>
            <w:tcW w:w="1276" w:type="dxa"/>
            <w:vAlign w:val="center"/>
          </w:tcPr>
          <w:p>
            <w:pPr>
              <w:pStyle w:val="13"/>
            </w:pPr>
            <w:r>
              <w:t>招投标方案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项目完成及时性</w:t>
            </w:r>
          </w:p>
        </w:tc>
        <w:tc>
          <w:tcPr>
            <w:tcW w:w="5386" w:type="dxa"/>
            <w:vAlign w:val="center"/>
          </w:tcPr>
          <w:p>
            <w:pPr>
              <w:pStyle w:val="13"/>
            </w:pPr>
            <w:r>
              <w:t>第三方机构在规定时间内完成项目，不延期</w:t>
            </w:r>
          </w:p>
        </w:tc>
        <w:tc>
          <w:tcPr>
            <w:tcW w:w="2268" w:type="dxa"/>
            <w:vAlign w:val="center"/>
          </w:tcPr>
          <w:p>
            <w:pPr>
              <w:pStyle w:val="13"/>
            </w:pPr>
            <w:r>
              <w:t>2025年12月31日前</w:t>
            </w:r>
          </w:p>
        </w:tc>
        <w:tc>
          <w:tcPr>
            <w:tcW w:w="1276" w:type="dxa"/>
            <w:vAlign w:val="center"/>
          </w:tcPr>
          <w:p>
            <w:pPr>
              <w:pStyle w:val="13"/>
            </w:pPr>
            <w:r>
              <w:t>实际处理所需时间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聘用成本</w:t>
            </w:r>
          </w:p>
        </w:tc>
        <w:tc>
          <w:tcPr>
            <w:tcW w:w="5386" w:type="dxa"/>
            <w:vAlign w:val="center"/>
          </w:tcPr>
          <w:p>
            <w:pPr>
              <w:pStyle w:val="13"/>
            </w:pPr>
            <w:r>
              <w:t>聘用第三方机构服务费用情况</w:t>
            </w:r>
          </w:p>
        </w:tc>
        <w:tc>
          <w:tcPr>
            <w:tcW w:w="2268" w:type="dxa"/>
            <w:vAlign w:val="center"/>
          </w:tcPr>
          <w:p>
            <w:pPr>
              <w:pStyle w:val="13"/>
            </w:pPr>
            <w:r>
              <w:t>≤315.36万元</w:t>
            </w:r>
          </w:p>
        </w:tc>
        <w:tc>
          <w:tcPr>
            <w:tcW w:w="1276" w:type="dxa"/>
            <w:vAlign w:val="center"/>
          </w:tcPr>
          <w:p>
            <w:pPr>
              <w:pStyle w:val="13"/>
            </w:pPr>
            <w:r>
              <w:t>招标价格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较聘请前提升工作效率</w:t>
            </w:r>
          </w:p>
        </w:tc>
        <w:tc>
          <w:tcPr>
            <w:tcW w:w="5386" w:type="dxa"/>
            <w:vAlign w:val="center"/>
          </w:tcPr>
          <w:p>
            <w:pPr>
              <w:pStyle w:val="13"/>
            </w:pPr>
            <w:r>
              <w:t>第三方机构按时、保质保量的完成信息采集工作</w:t>
            </w:r>
          </w:p>
        </w:tc>
        <w:tc>
          <w:tcPr>
            <w:tcW w:w="2268" w:type="dxa"/>
            <w:vAlign w:val="center"/>
          </w:tcPr>
          <w:p>
            <w:pPr>
              <w:pStyle w:val="13"/>
            </w:pPr>
            <w:r>
              <w:t>≥95%</w:t>
            </w:r>
          </w:p>
        </w:tc>
        <w:tc>
          <w:tcPr>
            <w:tcW w:w="1276" w:type="dxa"/>
            <w:vAlign w:val="center"/>
          </w:tcPr>
          <w:p>
            <w:pPr>
              <w:pStyle w:val="13"/>
            </w:pPr>
            <w:r>
              <w:t>实际发现和处理情况结果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提供长期稳定服务</w:t>
            </w:r>
          </w:p>
        </w:tc>
        <w:tc>
          <w:tcPr>
            <w:tcW w:w="5386" w:type="dxa"/>
            <w:vAlign w:val="center"/>
          </w:tcPr>
          <w:p>
            <w:pPr>
              <w:pStyle w:val="13"/>
            </w:pPr>
            <w:r>
              <w:t>第三方机构实施项目能够长期稳定保障信息采集顺利进行，保障数字化城管平台工作正常运转</w:t>
            </w:r>
          </w:p>
        </w:tc>
        <w:tc>
          <w:tcPr>
            <w:tcW w:w="2268" w:type="dxa"/>
            <w:vAlign w:val="center"/>
          </w:tcPr>
          <w:p>
            <w:pPr>
              <w:pStyle w:val="13"/>
            </w:pPr>
            <w:r>
              <w:t>1年</w:t>
            </w:r>
          </w:p>
        </w:tc>
        <w:tc>
          <w:tcPr>
            <w:tcW w:w="1276"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工作人员对第三方机构认可程度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12、数字化运行费绩效目标表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13080025P00004410003H</w:t>
            </w:r>
          </w:p>
        </w:tc>
        <w:tc>
          <w:tcPr>
            <w:tcW w:w="2835" w:type="dxa"/>
            <w:vAlign w:val="center"/>
          </w:tcPr>
          <w:p>
            <w:pPr>
              <w:pStyle w:val="11"/>
            </w:pPr>
            <w:r>
              <w:t>项目名称</w:t>
            </w:r>
          </w:p>
        </w:tc>
        <w:tc>
          <w:tcPr>
            <w:tcW w:w="6095" w:type="dxa"/>
            <w:gridSpan w:val="3"/>
            <w:vAlign w:val="center"/>
          </w:tcPr>
          <w:p>
            <w:pPr>
              <w:pStyle w:val="13"/>
            </w:pPr>
            <w:r>
              <w:t>数字化运行费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用于支付数字化运行费</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1.合理安排财政资金支出计划，遵循单位财务规章制度，在预算内按进度支出；保障中心正常运转，服务于中心全年目标任务。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工作日保障单位运转</w:t>
            </w:r>
          </w:p>
        </w:tc>
        <w:tc>
          <w:tcPr>
            <w:tcW w:w="5386" w:type="dxa"/>
            <w:vAlign w:val="center"/>
          </w:tcPr>
          <w:p>
            <w:pPr>
              <w:pStyle w:val="13"/>
            </w:pPr>
            <w:r>
              <w:t>工作日保障单位运转</w:t>
            </w:r>
          </w:p>
        </w:tc>
        <w:tc>
          <w:tcPr>
            <w:tcW w:w="2268" w:type="dxa"/>
            <w:vAlign w:val="center"/>
          </w:tcPr>
          <w:p>
            <w:pPr>
              <w:pStyle w:val="13"/>
            </w:pPr>
            <w:r>
              <w:t>≥8小时</w:t>
            </w:r>
          </w:p>
        </w:tc>
        <w:tc>
          <w:tcPr>
            <w:tcW w:w="1276" w:type="dxa"/>
            <w:vAlign w:val="center"/>
          </w:tcPr>
          <w:p>
            <w:pPr>
              <w:pStyle w:val="13"/>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5386" w:type="dxa"/>
            <w:vAlign w:val="center"/>
          </w:tcPr>
          <w:p>
            <w:pPr>
              <w:pStyle w:val="13"/>
            </w:pPr>
            <w:r>
              <w:t>专款专用</w:t>
            </w:r>
          </w:p>
        </w:tc>
        <w:tc>
          <w:tcPr>
            <w:tcW w:w="2268" w:type="dxa"/>
            <w:vAlign w:val="center"/>
          </w:tcPr>
          <w:p>
            <w:pPr>
              <w:pStyle w:val="13"/>
            </w:pPr>
            <w:r>
              <w:t>100%</w:t>
            </w:r>
          </w:p>
        </w:tc>
        <w:tc>
          <w:tcPr>
            <w:tcW w:w="1276" w:type="dxa"/>
            <w:vAlign w:val="center"/>
          </w:tcPr>
          <w:p>
            <w:pPr>
              <w:pStyle w:val="13"/>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按时间进度要求支付使用资金</w:t>
            </w:r>
          </w:p>
        </w:tc>
        <w:tc>
          <w:tcPr>
            <w:tcW w:w="5386" w:type="dxa"/>
            <w:vAlign w:val="center"/>
          </w:tcPr>
          <w:p>
            <w:pPr>
              <w:pStyle w:val="13"/>
            </w:pPr>
            <w:r>
              <w:t>按时间进度要求支付使用资金</w:t>
            </w:r>
          </w:p>
        </w:tc>
        <w:tc>
          <w:tcPr>
            <w:tcW w:w="2268" w:type="dxa"/>
            <w:vAlign w:val="center"/>
          </w:tcPr>
          <w:p>
            <w:pPr>
              <w:pStyle w:val="13"/>
            </w:pPr>
            <w:r>
              <w:t>2025年12月31日前</w:t>
            </w:r>
          </w:p>
        </w:tc>
        <w:tc>
          <w:tcPr>
            <w:tcW w:w="1276" w:type="dxa"/>
            <w:vAlign w:val="center"/>
          </w:tcPr>
          <w:p>
            <w:pPr>
              <w:pStyle w:val="13"/>
            </w:pPr>
            <w:r>
              <w:t>预算批复、机关要求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w:t>
            </w:r>
          </w:p>
        </w:tc>
        <w:tc>
          <w:tcPr>
            <w:tcW w:w="5386" w:type="dxa"/>
            <w:vAlign w:val="center"/>
          </w:tcPr>
          <w:p>
            <w:pPr>
              <w:pStyle w:val="13"/>
            </w:pPr>
            <w:r>
              <w:t>各项经费成本</w:t>
            </w:r>
          </w:p>
        </w:tc>
        <w:tc>
          <w:tcPr>
            <w:tcW w:w="2268" w:type="dxa"/>
            <w:vAlign w:val="center"/>
          </w:tcPr>
          <w:p>
            <w:pPr>
              <w:pStyle w:val="13"/>
            </w:pPr>
            <w:r>
              <w:t>≤18万元</w:t>
            </w:r>
          </w:p>
        </w:tc>
        <w:tc>
          <w:tcPr>
            <w:tcW w:w="1276" w:type="dxa"/>
            <w:vAlign w:val="center"/>
          </w:tcPr>
          <w:p>
            <w:pPr>
              <w:pStyle w:val="13"/>
            </w:pPr>
            <w:r>
              <w:t>招标价格或合同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提升公共服务质量</w:t>
            </w:r>
          </w:p>
        </w:tc>
        <w:tc>
          <w:tcPr>
            <w:tcW w:w="5386" w:type="dxa"/>
            <w:vAlign w:val="center"/>
          </w:tcPr>
          <w:p>
            <w:pPr>
              <w:pStyle w:val="13"/>
            </w:pPr>
            <w:r>
              <w:t>提升公共服务质量</w:t>
            </w:r>
          </w:p>
        </w:tc>
        <w:tc>
          <w:tcPr>
            <w:tcW w:w="2268" w:type="dxa"/>
            <w:vAlign w:val="center"/>
          </w:tcPr>
          <w:p>
            <w:pPr>
              <w:pStyle w:val="13"/>
            </w:pPr>
            <w:r>
              <w:t>较上年增加2%</w:t>
            </w:r>
          </w:p>
        </w:tc>
        <w:tc>
          <w:tcPr>
            <w:tcW w:w="1276" w:type="dxa"/>
            <w:vAlign w:val="center"/>
          </w:tcPr>
          <w:p>
            <w:pPr>
              <w:pStyle w:val="13"/>
            </w:pPr>
            <w:r>
              <w:t>维护机关正常办公秩序，保障公职人员履职需要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使用节能减排产品</w:t>
            </w:r>
          </w:p>
        </w:tc>
        <w:tc>
          <w:tcPr>
            <w:tcW w:w="5386" w:type="dxa"/>
            <w:vAlign w:val="center"/>
          </w:tcPr>
          <w:p>
            <w:pPr>
              <w:pStyle w:val="13"/>
            </w:pPr>
            <w:r>
              <w:t>使用节能减排产品</w:t>
            </w:r>
          </w:p>
        </w:tc>
        <w:tc>
          <w:tcPr>
            <w:tcW w:w="2268" w:type="dxa"/>
            <w:vAlign w:val="center"/>
          </w:tcPr>
          <w:p>
            <w:pPr>
              <w:pStyle w:val="13"/>
            </w:pPr>
            <w:r>
              <w:t>较上年增加2%</w:t>
            </w:r>
          </w:p>
        </w:tc>
        <w:tc>
          <w:tcPr>
            <w:tcW w:w="1276" w:type="dxa"/>
            <w:vAlign w:val="center"/>
          </w:tcPr>
          <w:p>
            <w:pPr>
              <w:pStyle w:val="13"/>
            </w:pPr>
            <w:r>
              <w:t>响应节能减排号召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机关职工满意度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13、污水处理及污泥处理处置考核评价绩效目标表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13080025P00003610005W</w:t>
            </w:r>
          </w:p>
        </w:tc>
        <w:tc>
          <w:tcPr>
            <w:tcW w:w="2835" w:type="dxa"/>
            <w:vAlign w:val="center"/>
          </w:tcPr>
          <w:p>
            <w:pPr>
              <w:pStyle w:val="11"/>
            </w:pPr>
            <w:r>
              <w:t>项目名称</w:t>
            </w:r>
          </w:p>
        </w:tc>
        <w:tc>
          <w:tcPr>
            <w:tcW w:w="6095" w:type="dxa"/>
            <w:gridSpan w:val="3"/>
            <w:vAlign w:val="center"/>
          </w:tcPr>
          <w:p>
            <w:pPr>
              <w:pStyle w:val="13"/>
            </w:pPr>
            <w:r>
              <w:t>污水处理及污泥处理处置考核评价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26.40</w:t>
            </w:r>
          </w:p>
        </w:tc>
        <w:tc>
          <w:tcPr>
            <w:tcW w:w="2835" w:type="dxa"/>
            <w:vAlign w:val="center"/>
          </w:tcPr>
          <w:p>
            <w:pPr>
              <w:pStyle w:val="11"/>
            </w:pPr>
            <w:r>
              <w:t>其中：财政    资金</w:t>
            </w:r>
          </w:p>
        </w:tc>
        <w:tc>
          <w:tcPr>
            <w:tcW w:w="2551" w:type="dxa"/>
            <w:vAlign w:val="center"/>
          </w:tcPr>
          <w:p>
            <w:pPr>
              <w:pStyle w:val="13"/>
            </w:pPr>
            <w:r>
              <w:t>26.40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用于支付污水处理及污泥处理处置考核评价费用</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1.申请26.4万元在2025年度对全市县级以上污水处理厂进行考核评价，保证污水处理达标。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年度考核次数</w:t>
            </w:r>
          </w:p>
        </w:tc>
        <w:tc>
          <w:tcPr>
            <w:tcW w:w="5386" w:type="dxa"/>
            <w:vAlign w:val="center"/>
          </w:tcPr>
          <w:p>
            <w:pPr>
              <w:pStyle w:val="13"/>
            </w:pPr>
            <w:r>
              <w:t>反映全市污水处理厂进行考核评价次数</w:t>
            </w:r>
          </w:p>
        </w:tc>
        <w:tc>
          <w:tcPr>
            <w:tcW w:w="2268" w:type="dxa"/>
            <w:vAlign w:val="center"/>
          </w:tcPr>
          <w:p>
            <w:pPr>
              <w:pStyle w:val="13"/>
            </w:pPr>
            <w:r>
              <w:t>2次</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考核成果合格率</w:t>
            </w:r>
          </w:p>
        </w:tc>
        <w:tc>
          <w:tcPr>
            <w:tcW w:w="5386" w:type="dxa"/>
            <w:vAlign w:val="center"/>
          </w:tcPr>
          <w:p>
            <w:pPr>
              <w:pStyle w:val="13"/>
            </w:pPr>
            <w:r>
              <w:t>出具考核评价报告合格率</w:t>
            </w:r>
          </w:p>
        </w:tc>
        <w:tc>
          <w:tcPr>
            <w:tcW w:w="2268" w:type="dxa"/>
            <w:vAlign w:val="center"/>
          </w:tcPr>
          <w:p>
            <w:pPr>
              <w:pStyle w:val="13"/>
            </w:pPr>
            <w:r>
              <w:t>100%</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按时完成考核评价任务</w:t>
            </w:r>
          </w:p>
        </w:tc>
        <w:tc>
          <w:tcPr>
            <w:tcW w:w="5386" w:type="dxa"/>
            <w:vAlign w:val="center"/>
          </w:tcPr>
          <w:p>
            <w:pPr>
              <w:pStyle w:val="13"/>
            </w:pPr>
            <w:r>
              <w:t>按时完成考核评价任务</w:t>
            </w:r>
          </w:p>
        </w:tc>
        <w:tc>
          <w:tcPr>
            <w:tcW w:w="2268" w:type="dxa"/>
            <w:vAlign w:val="center"/>
          </w:tcPr>
          <w:p>
            <w:pPr>
              <w:pStyle w:val="13"/>
            </w:pPr>
            <w:r>
              <w:t>2025年底前完成</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反映考核评价支出成本</w:t>
            </w:r>
          </w:p>
        </w:tc>
        <w:tc>
          <w:tcPr>
            <w:tcW w:w="2268" w:type="dxa"/>
            <w:vAlign w:val="center"/>
          </w:tcPr>
          <w:p>
            <w:pPr>
              <w:pStyle w:val="13"/>
            </w:pPr>
            <w:r>
              <w:t>26.4万元</w:t>
            </w:r>
          </w:p>
        </w:tc>
        <w:tc>
          <w:tcPr>
            <w:tcW w:w="1276" w:type="dxa"/>
            <w:vAlign w:val="center"/>
          </w:tcPr>
          <w:p>
            <w:pPr>
              <w:pStyle w:val="13"/>
            </w:pPr>
            <w:r>
              <w:t>年初预算安排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落实污水处理厂存在问题整改情况</w:t>
            </w:r>
          </w:p>
        </w:tc>
        <w:tc>
          <w:tcPr>
            <w:tcW w:w="5386" w:type="dxa"/>
            <w:vAlign w:val="center"/>
          </w:tcPr>
          <w:p>
            <w:pPr>
              <w:pStyle w:val="13"/>
            </w:pPr>
            <w:r>
              <w:t>针对第三方机构出具报告中存在的问题，落实污水处理厂存在问题整改情况</w:t>
            </w:r>
          </w:p>
        </w:tc>
        <w:tc>
          <w:tcPr>
            <w:tcW w:w="2268" w:type="dxa"/>
            <w:vAlign w:val="center"/>
          </w:tcPr>
          <w:p>
            <w:pPr>
              <w:pStyle w:val="13"/>
            </w:pPr>
            <w:r>
              <w:t>≤3个</w:t>
            </w:r>
          </w:p>
        </w:tc>
        <w:tc>
          <w:tcPr>
            <w:tcW w:w="1276" w:type="dxa"/>
            <w:vAlign w:val="center"/>
          </w:tcPr>
          <w:p>
            <w:pPr>
              <w:pStyle w:val="13"/>
            </w:pPr>
            <w:r>
              <w:t>工程完工实际效果</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保证污水处理达标，避免环境污染</w:t>
            </w:r>
          </w:p>
        </w:tc>
        <w:tc>
          <w:tcPr>
            <w:tcW w:w="5386" w:type="dxa"/>
            <w:vAlign w:val="center"/>
          </w:tcPr>
          <w:p>
            <w:pPr>
              <w:pStyle w:val="13"/>
            </w:pPr>
            <w:r>
              <w:t>保证污水处理达标，避免环境污染</w:t>
            </w:r>
          </w:p>
        </w:tc>
        <w:tc>
          <w:tcPr>
            <w:tcW w:w="2268" w:type="dxa"/>
            <w:vAlign w:val="center"/>
          </w:tcPr>
          <w:p>
            <w:pPr>
              <w:pStyle w:val="13"/>
            </w:pPr>
            <w:r>
              <w:t>100%</w:t>
            </w:r>
          </w:p>
        </w:tc>
        <w:tc>
          <w:tcPr>
            <w:tcW w:w="1276" w:type="dxa"/>
            <w:vAlign w:val="center"/>
          </w:tcPr>
          <w:p>
            <w:pPr>
              <w:pStyle w:val="13"/>
            </w:pPr>
            <w:r>
              <w:t>河北省城镇排水与污水处理管理办法</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提供长期稳定服务</w:t>
            </w:r>
          </w:p>
        </w:tc>
        <w:tc>
          <w:tcPr>
            <w:tcW w:w="5386" w:type="dxa"/>
            <w:vAlign w:val="center"/>
          </w:tcPr>
          <w:p>
            <w:pPr>
              <w:pStyle w:val="13"/>
            </w:pPr>
            <w:r>
              <w:t>第三方机构实施项目能够长期稳定，保障污水处理厂稳定运行</w:t>
            </w:r>
          </w:p>
        </w:tc>
        <w:tc>
          <w:tcPr>
            <w:tcW w:w="2268" w:type="dxa"/>
            <w:vAlign w:val="center"/>
          </w:tcPr>
          <w:p>
            <w:pPr>
              <w:pStyle w:val="13"/>
            </w:pPr>
            <w:r>
              <w:t>1年</w:t>
            </w:r>
          </w:p>
        </w:tc>
        <w:tc>
          <w:tcPr>
            <w:tcW w:w="1276" w:type="dxa"/>
            <w:vAlign w:val="center"/>
          </w:tcPr>
          <w:p>
            <w:pPr>
              <w:pStyle w:val="13"/>
            </w:pPr>
            <w:r>
              <w:t>工程完工实际效果</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被考核单位满意度</w:t>
            </w:r>
          </w:p>
        </w:tc>
        <w:tc>
          <w:tcPr>
            <w:tcW w:w="5386" w:type="dxa"/>
            <w:vAlign w:val="center"/>
          </w:tcPr>
          <w:p>
            <w:pPr>
              <w:pStyle w:val="13"/>
            </w:pPr>
            <w:r>
              <w:t>被考核单位满意度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14、2021年度武烈河沿岸亮化工程（武烈河下游至滦河交汇段）绩效目标表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13080024P00003310004R</w:t>
            </w:r>
          </w:p>
        </w:tc>
        <w:tc>
          <w:tcPr>
            <w:tcW w:w="2835" w:type="dxa"/>
            <w:vAlign w:val="center"/>
          </w:tcPr>
          <w:p>
            <w:pPr>
              <w:pStyle w:val="11"/>
            </w:pPr>
            <w:r>
              <w:t>项目名称</w:t>
            </w:r>
          </w:p>
        </w:tc>
        <w:tc>
          <w:tcPr>
            <w:tcW w:w="6095" w:type="dxa"/>
            <w:gridSpan w:val="3"/>
            <w:vAlign w:val="center"/>
          </w:tcPr>
          <w:p>
            <w:pPr>
              <w:pStyle w:val="13"/>
            </w:pPr>
            <w:r>
              <w:t>2021年度武烈河沿岸亮化工程（武烈河下游至滦河交汇段）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23.60</w:t>
            </w:r>
          </w:p>
        </w:tc>
        <w:tc>
          <w:tcPr>
            <w:tcW w:w="2835" w:type="dxa"/>
            <w:vAlign w:val="center"/>
          </w:tcPr>
          <w:p>
            <w:pPr>
              <w:pStyle w:val="11"/>
            </w:pPr>
            <w:r>
              <w:t>其中：财政    资金</w:t>
            </w:r>
          </w:p>
        </w:tc>
        <w:tc>
          <w:tcPr>
            <w:tcW w:w="2551" w:type="dxa"/>
            <w:vAlign w:val="center"/>
          </w:tcPr>
          <w:p>
            <w:pPr>
              <w:pStyle w:val="13"/>
            </w:pPr>
            <w:r>
              <w:t>23.60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用于支付2021年度武烈河沿岸亮化工程剩余款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95%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1.2025年内，偿还23.6万元，支付项目欠款，提高政府公信力。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欠款项目数</w:t>
            </w:r>
          </w:p>
        </w:tc>
        <w:tc>
          <w:tcPr>
            <w:tcW w:w="5386" w:type="dxa"/>
            <w:vAlign w:val="center"/>
          </w:tcPr>
          <w:p>
            <w:pPr>
              <w:pStyle w:val="13"/>
            </w:pPr>
            <w:r>
              <w:t>待支付欠款项目数量</w:t>
            </w:r>
          </w:p>
        </w:tc>
        <w:tc>
          <w:tcPr>
            <w:tcW w:w="2268" w:type="dxa"/>
            <w:vAlign w:val="center"/>
          </w:tcPr>
          <w:p>
            <w:pPr>
              <w:pStyle w:val="13"/>
            </w:pPr>
            <w:r>
              <w:t>1项</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资金支出准确率</w:t>
            </w:r>
          </w:p>
        </w:tc>
        <w:tc>
          <w:tcPr>
            <w:tcW w:w="5386" w:type="dxa"/>
            <w:vAlign w:val="center"/>
          </w:tcPr>
          <w:p>
            <w:pPr>
              <w:pStyle w:val="13"/>
            </w:pPr>
            <w:r>
              <w:t>欠款资金支出准确性</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支付及时性</w:t>
            </w:r>
          </w:p>
        </w:tc>
        <w:tc>
          <w:tcPr>
            <w:tcW w:w="5386" w:type="dxa"/>
            <w:vAlign w:val="center"/>
          </w:tcPr>
          <w:p>
            <w:pPr>
              <w:pStyle w:val="13"/>
            </w:pPr>
            <w:r>
              <w:t>反映按计划及时支付欠款</w:t>
            </w:r>
          </w:p>
        </w:tc>
        <w:tc>
          <w:tcPr>
            <w:tcW w:w="2268" w:type="dxa"/>
            <w:vAlign w:val="center"/>
          </w:tcPr>
          <w:p>
            <w:pPr>
              <w:pStyle w:val="13"/>
            </w:pPr>
            <w:r>
              <w:t>2025年12月31日前支付</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项目欠款数额</w:t>
            </w:r>
          </w:p>
        </w:tc>
        <w:tc>
          <w:tcPr>
            <w:tcW w:w="5386" w:type="dxa"/>
            <w:vAlign w:val="center"/>
          </w:tcPr>
          <w:p>
            <w:pPr>
              <w:pStyle w:val="13"/>
            </w:pPr>
            <w:r>
              <w:t>项目欠款总数额</w:t>
            </w:r>
          </w:p>
        </w:tc>
        <w:tc>
          <w:tcPr>
            <w:tcW w:w="2268" w:type="dxa"/>
            <w:vAlign w:val="center"/>
          </w:tcPr>
          <w:p>
            <w:pPr>
              <w:pStyle w:val="13"/>
            </w:pPr>
            <w:r>
              <w:t>23.6万元</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提高政府公信力</w:t>
            </w:r>
          </w:p>
        </w:tc>
        <w:tc>
          <w:tcPr>
            <w:tcW w:w="5386" w:type="dxa"/>
            <w:vAlign w:val="center"/>
          </w:tcPr>
          <w:p>
            <w:pPr>
              <w:pStyle w:val="13"/>
            </w:pPr>
            <w:r>
              <w:t>持续提升政府公信力</w:t>
            </w:r>
          </w:p>
        </w:tc>
        <w:tc>
          <w:tcPr>
            <w:tcW w:w="2268" w:type="dxa"/>
            <w:vAlign w:val="center"/>
          </w:tcPr>
          <w:p>
            <w:pPr>
              <w:pStyle w:val="13"/>
            </w:pPr>
            <w:r>
              <w:t>≥3年</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债务率</w:t>
            </w:r>
          </w:p>
        </w:tc>
        <w:tc>
          <w:tcPr>
            <w:tcW w:w="5386" w:type="dxa"/>
            <w:vAlign w:val="center"/>
          </w:tcPr>
          <w:p>
            <w:pPr>
              <w:pStyle w:val="13"/>
            </w:pPr>
            <w:r>
              <w:t>反映贷款主体债务率情况</w:t>
            </w:r>
          </w:p>
        </w:tc>
        <w:tc>
          <w:tcPr>
            <w:tcW w:w="2268" w:type="dxa"/>
            <w:vAlign w:val="center"/>
          </w:tcPr>
          <w:p>
            <w:pPr>
              <w:pStyle w:val="13"/>
            </w:pPr>
            <w:r>
              <w:t>≤10%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施工企业对欠款偿还情况的满意度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15、2023-2026年承德市老城区主干道改造提升工程绩效目标表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13080023P00012310004U</w:t>
            </w:r>
          </w:p>
        </w:tc>
        <w:tc>
          <w:tcPr>
            <w:tcW w:w="2835" w:type="dxa"/>
            <w:vAlign w:val="center"/>
          </w:tcPr>
          <w:p>
            <w:pPr>
              <w:pStyle w:val="11"/>
            </w:pPr>
            <w:r>
              <w:t>项目名称</w:t>
            </w:r>
          </w:p>
        </w:tc>
        <w:tc>
          <w:tcPr>
            <w:tcW w:w="6095" w:type="dxa"/>
            <w:gridSpan w:val="3"/>
            <w:vAlign w:val="center"/>
          </w:tcPr>
          <w:p>
            <w:pPr>
              <w:pStyle w:val="13"/>
            </w:pPr>
            <w:r>
              <w:t>2023-2026年承德市老城区主干道改造提升工程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276.26</w:t>
            </w:r>
          </w:p>
        </w:tc>
        <w:tc>
          <w:tcPr>
            <w:tcW w:w="2835" w:type="dxa"/>
            <w:vAlign w:val="center"/>
          </w:tcPr>
          <w:p>
            <w:pPr>
              <w:pStyle w:val="11"/>
            </w:pPr>
            <w:r>
              <w:t>其中：财政    资金</w:t>
            </w:r>
          </w:p>
        </w:tc>
        <w:tc>
          <w:tcPr>
            <w:tcW w:w="2551" w:type="dxa"/>
            <w:vAlign w:val="center"/>
          </w:tcPr>
          <w:p>
            <w:pPr>
              <w:pStyle w:val="13"/>
            </w:pPr>
            <w:r>
              <w:t>276.26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用于支付主干道养护工程资金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1.在2025年，花费276.26万元对市区主干道路面等方面进行养护，保障市民出行方便和安全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项目建设单位成本</w:t>
            </w:r>
          </w:p>
        </w:tc>
        <w:tc>
          <w:tcPr>
            <w:tcW w:w="5386" w:type="dxa"/>
            <w:vAlign w:val="center"/>
          </w:tcPr>
          <w:p>
            <w:pPr>
              <w:pStyle w:val="13"/>
            </w:pPr>
            <w:r>
              <w:t>项目所需资金总量</w:t>
            </w:r>
          </w:p>
        </w:tc>
        <w:tc>
          <w:tcPr>
            <w:tcW w:w="2268" w:type="dxa"/>
            <w:vAlign w:val="center"/>
          </w:tcPr>
          <w:p>
            <w:pPr>
              <w:pStyle w:val="13"/>
            </w:pPr>
            <w:r>
              <w:t>≤276.26万元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竣工验收合格率</w:t>
            </w:r>
          </w:p>
        </w:tc>
        <w:tc>
          <w:tcPr>
            <w:tcW w:w="5386" w:type="dxa"/>
            <w:vAlign w:val="center"/>
          </w:tcPr>
          <w:p>
            <w:pPr>
              <w:pStyle w:val="13"/>
            </w:pPr>
            <w:r>
              <w:t>反映竣工验收情况</w:t>
            </w:r>
          </w:p>
        </w:tc>
        <w:tc>
          <w:tcPr>
            <w:tcW w:w="2268" w:type="dxa"/>
            <w:vAlign w:val="center"/>
          </w:tcPr>
          <w:p>
            <w:pPr>
              <w:pStyle w:val="13"/>
            </w:pPr>
            <w:r>
              <w:t>100%</w:t>
            </w:r>
          </w:p>
        </w:tc>
        <w:tc>
          <w:tcPr>
            <w:tcW w:w="1276" w:type="dxa"/>
            <w:vAlign w:val="center"/>
          </w:tcPr>
          <w:p>
            <w:pPr>
              <w:pStyle w:val="13"/>
            </w:pPr>
            <w:r>
              <w:t>招标文件要求标准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项目按计划完工</w:t>
            </w:r>
          </w:p>
        </w:tc>
        <w:tc>
          <w:tcPr>
            <w:tcW w:w="5386" w:type="dxa"/>
            <w:vAlign w:val="center"/>
          </w:tcPr>
          <w:p>
            <w:pPr>
              <w:pStyle w:val="13"/>
            </w:pPr>
            <w:r>
              <w:t>反应工程按计划开工情况</w:t>
            </w:r>
          </w:p>
        </w:tc>
        <w:tc>
          <w:tcPr>
            <w:tcW w:w="2268" w:type="dxa"/>
            <w:vAlign w:val="center"/>
          </w:tcPr>
          <w:p>
            <w:pPr>
              <w:pStyle w:val="13"/>
            </w:pPr>
            <w:r>
              <w:t>2025年12月底前完成</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建设工程数量</w:t>
            </w:r>
          </w:p>
        </w:tc>
        <w:tc>
          <w:tcPr>
            <w:tcW w:w="5386" w:type="dxa"/>
            <w:vAlign w:val="center"/>
          </w:tcPr>
          <w:p>
            <w:pPr>
              <w:pStyle w:val="13"/>
            </w:pPr>
            <w:r>
              <w:t>反映建设工程的数量</w:t>
            </w:r>
          </w:p>
        </w:tc>
        <w:tc>
          <w:tcPr>
            <w:tcW w:w="2268" w:type="dxa"/>
            <w:vAlign w:val="center"/>
          </w:tcPr>
          <w:p>
            <w:pPr>
              <w:pStyle w:val="13"/>
            </w:pPr>
            <w:r>
              <w:t>≥1个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建筑综合利用率</w:t>
            </w:r>
          </w:p>
          <w:p>
            <w:pPr>
              <w:pStyle w:val="13"/>
            </w:pPr>
          </w:p>
        </w:tc>
        <w:tc>
          <w:tcPr>
            <w:tcW w:w="5386" w:type="dxa"/>
            <w:vAlign w:val="center"/>
          </w:tcPr>
          <w:p>
            <w:pPr>
              <w:pStyle w:val="13"/>
            </w:pPr>
            <w:r>
              <w:t>反映项目综合利用情况</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资产可持续使用年限</w:t>
            </w:r>
          </w:p>
        </w:tc>
        <w:tc>
          <w:tcPr>
            <w:tcW w:w="5386" w:type="dxa"/>
            <w:vAlign w:val="center"/>
          </w:tcPr>
          <w:p>
            <w:pPr>
              <w:pStyle w:val="13"/>
            </w:pPr>
            <w:r>
              <w:t>反映基建项目形成的固定资产可持续使用的年限</w:t>
            </w:r>
          </w:p>
        </w:tc>
        <w:tc>
          <w:tcPr>
            <w:tcW w:w="2268" w:type="dxa"/>
            <w:vAlign w:val="center"/>
          </w:tcPr>
          <w:p>
            <w:pPr>
              <w:pStyle w:val="13"/>
            </w:pPr>
            <w:r>
              <w:t>≥2年</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16、2024年承德市老城区主干道路提升工程绩效目标表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13080024P00016110002L</w:t>
            </w:r>
          </w:p>
        </w:tc>
        <w:tc>
          <w:tcPr>
            <w:tcW w:w="2835" w:type="dxa"/>
            <w:vAlign w:val="center"/>
          </w:tcPr>
          <w:p>
            <w:pPr>
              <w:pStyle w:val="11"/>
            </w:pPr>
            <w:r>
              <w:t>项目名称</w:t>
            </w:r>
          </w:p>
        </w:tc>
        <w:tc>
          <w:tcPr>
            <w:tcW w:w="6095" w:type="dxa"/>
            <w:gridSpan w:val="3"/>
            <w:vAlign w:val="center"/>
          </w:tcPr>
          <w:p>
            <w:pPr>
              <w:pStyle w:val="13"/>
            </w:pPr>
            <w:r>
              <w:t>2024年承德市老城区主干道路提升工程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w:t>
            </w:r>
          </w:p>
        </w:tc>
        <w:tc>
          <w:tcPr>
            <w:tcW w:w="2835" w:type="dxa"/>
            <w:vAlign w:val="center"/>
          </w:tcPr>
          <w:p>
            <w:pPr>
              <w:pStyle w:val="11"/>
            </w:pPr>
            <w:r>
              <w:t>其中：财政    资金</w:t>
            </w:r>
          </w:p>
        </w:tc>
        <w:tc>
          <w:tcPr>
            <w:tcW w:w="2551" w:type="dxa"/>
            <w:vAlign w:val="center"/>
          </w:tcPr>
          <w:p>
            <w:pPr>
              <w:pStyle w:val="13"/>
            </w:pPr>
            <w:r>
              <w:t>1500.00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用于支付老城区主干道提升工程资金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3000%</w:t>
            </w:r>
          </w:p>
        </w:tc>
        <w:tc>
          <w:tcPr>
            <w:tcW w:w="2551" w:type="dxa"/>
            <w:vAlign w:val="center"/>
          </w:tcPr>
          <w:p>
            <w:pPr>
              <w:pStyle w:val="14"/>
            </w:pPr>
            <w:r>
              <w:t>7000%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1.完成主干道路养护工程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项目所需资金数额</w:t>
            </w:r>
          </w:p>
        </w:tc>
        <w:tc>
          <w:tcPr>
            <w:tcW w:w="2268" w:type="dxa"/>
            <w:vAlign w:val="center"/>
          </w:tcPr>
          <w:p>
            <w:pPr>
              <w:pStyle w:val="13"/>
            </w:pPr>
            <w:r>
              <w:t>≤1500万元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达到招标文件要求标准</w:t>
            </w:r>
          </w:p>
        </w:tc>
        <w:tc>
          <w:tcPr>
            <w:tcW w:w="5386" w:type="dxa"/>
            <w:vAlign w:val="center"/>
          </w:tcPr>
          <w:p>
            <w:pPr>
              <w:pStyle w:val="13"/>
            </w:pPr>
            <w:r>
              <w:t>修补质量达标率达到招标文件要求标准</w:t>
            </w:r>
          </w:p>
        </w:tc>
        <w:tc>
          <w:tcPr>
            <w:tcW w:w="2268" w:type="dxa"/>
            <w:vAlign w:val="center"/>
          </w:tcPr>
          <w:p>
            <w:pPr>
              <w:pStyle w:val="13"/>
            </w:pPr>
            <w:r>
              <w:t>100%</w:t>
            </w:r>
          </w:p>
        </w:tc>
        <w:tc>
          <w:tcPr>
            <w:tcW w:w="1276" w:type="dxa"/>
            <w:vAlign w:val="center"/>
          </w:tcPr>
          <w:p>
            <w:pPr>
              <w:pStyle w:val="13"/>
            </w:pPr>
            <w:r>
              <w:t>招标文件要求标准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合同工期</w:t>
            </w:r>
          </w:p>
        </w:tc>
        <w:tc>
          <w:tcPr>
            <w:tcW w:w="5386" w:type="dxa"/>
            <w:vAlign w:val="center"/>
          </w:tcPr>
          <w:p>
            <w:pPr>
              <w:pStyle w:val="13"/>
            </w:pPr>
            <w:r>
              <w:t>出现问题及时修补所需时间</w:t>
            </w:r>
          </w:p>
        </w:tc>
        <w:tc>
          <w:tcPr>
            <w:tcW w:w="2268" w:type="dxa"/>
            <w:vAlign w:val="center"/>
          </w:tcPr>
          <w:p>
            <w:pPr>
              <w:pStyle w:val="13"/>
            </w:pPr>
            <w:r>
              <w:t>≤2小时</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老城区主干道路条数</w:t>
            </w:r>
          </w:p>
        </w:tc>
        <w:tc>
          <w:tcPr>
            <w:tcW w:w="5386" w:type="dxa"/>
            <w:vAlign w:val="center"/>
          </w:tcPr>
          <w:p>
            <w:pPr>
              <w:pStyle w:val="13"/>
            </w:pPr>
            <w:r>
              <w:t>主干道道路数量</w:t>
            </w:r>
          </w:p>
        </w:tc>
        <w:tc>
          <w:tcPr>
            <w:tcW w:w="2268" w:type="dxa"/>
            <w:vAlign w:val="center"/>
          </w:tcPr>
          <w:p>
            <w:pPr>
              <w:pStyle w:val="13"/>
            </w:pPr>
            <w:r>
              <w:t>23条</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巩固提升生态环境质量，对生态环境质量起到提升的作用</w:t>
            </w:r>
          </w:p>
        </w:tc>
        <w:tc>
          <w:tcPr>
            <w:tcW w:w="2268" w:type="dxa"/>
            <w:vAlign w:val="center"/>
          </w:tcPr>
          <w:p>
            <w:pPr>
              <w:pStyle w:val="13"/>
            </w:pPr>
            <w:r>
              <w:t>巩固提升生态环境质量</w:t>
            </w:r>
          </w:p>
        </w:tc>
        <w:tc>
          <w:tcPr>
            <w:tcW w:w="1276" w:type="dxa"/>
            <w:vAlign w:val="center"/>
          </w:tcPr>
          <w:p>
            <w:pPr>
              <w:pStyle w:val="13"/>
            </w:pPr>
            <w:r>
              <w:t>有效巩固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使该建筑可持续使用</w:t>
            </w:r>
          </w:p>
        </w:tc>
        <w:tc>
          <w:tcPr>
            <w:tcW w:w="5386" w:type="dxa"/>
            <w:vAlign w:val="center"/>
          </w:tcPr>
          <w:p>
            <w:pPr>
              <w:pStyle w:val="13"/>
            </w:pPr>
            <w:r>
              <w:t>针对维修完毕的道路可持续提供使用</w:t>
            </w:r>
          </w:p>
        </w:tc>
        <w:tc>
          <w:tcPr>
            <w:tcW w:w="2268" w:type="dxa"/>
            <w:vAlign w:val="center"/>
          </w:tcPr>
          <w:p>
            <w:pPr>
              <w:pStyle w:val="13"/>
            </w:pPr>
            <w:r>
              <w:t>可持续提供使用</w:t>
            </w:r>
          </w:p>
        </w:tc>
        <w:tc>
          <w:tcPr>
            <w:tcW w:w="1276" w:type="dxa"/>
            <w:vAlign w:val="center"/>
          </w:tcPr>
          <w:p>
            <w:pPr>
              <w:pStyle w:val="13"/>
            </w:pPr>
            <w:r>
              <w:t>可持续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社会群众满意度指标</w:t>
            </w:r>
          </w:p>
        </w:tc>
        <w:tc>
          <w:tcPr>
            <w:tcW w:w="5386" w:type="dxa"/>
            <w:vAlign w:val="center"/>
          </w:tcPr>
          <w:p>
            <w:pPr>
              <w:pStyle w:val="13"/>
            </w:pPr>
            <w:r>
              <w:t>社会群众满意度指标</w:t>
            </w:r>
          </w:p>
        </w:tc>
        <w:tc>
          <w:tcPr>
            <w:tcW w:w="2268" w:type="dxa"/>
            <w:vAlign w:val="center"/>
          </w:tcPr>
          <w:p>
            <w:pPr>
              <w:pStyle w:val="13"/>
            </w:pPr>
            <w:r>
              <w:t>≥90%</w:t>
            </w:r>
          </w:p>
        </w:tc>
        <w:tc>
          <w:tcPr>
            <w:tcW w:w="1276" w:type="dxa"/>
            <w:vAlign w:val="center"/>
          </w:tcPr>
          <w:p>
            <w:pPr>
              <w:pStyle w:val="13"/>
            </w:pPr>
            <w:r>
              <w:t>实际调查结果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17、2024年春节节日装点绩效目标表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13080024P000041100032</w:t>
            </w:r>
          </w:p>
        </w:tc>
        <w:tc>
          <w:tcPr>
            <w:tcW w:w="2835" w:type="dxa"/>
            <w:vAlign w:val="center"/>
          </w:tcPr>
          <w:p>
            <w:pPr>
              <w:pStyle w:val="11"/>
            </w:pPr>
            <w:r>
              <w:t>项目名称</w:t>
            </w:r>
          </w:p>
        </w:tc>
        <w:tc>
          <w:tcPr>
            <w:tcW w:w="6095" w:type="dxa"/>
            <w:gridSpan w:val="3"/>
            <w:vAlign w:val="center"/>
          </w:tcPr>
          <w:p>
            <w:pPr>
              <w:pStyle w:val="13"/>
            </w:pPr>
            <w:r>
              <w:t>2024年春节节日装点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用于支付2024年春节节日装点工程款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95%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计划对中心城区“二十九街路”“十组团”实施节日装点，其中，“二十九街路”包括迎宾路、武烈路、新华路、府前路、南营子大街、丽正门大街等中心区主要街路，“十组团”包括迎水坝公园、丽正园、樱花园等主要节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各项目建设项目总成本</w:t>
            </w:r>
          </w:p>
        </w:tc>
        <w:tc>
          <w:tcPr>
            <w:tcW w:w="2268" w:type="dxa"/>
            <w:vAlign w:val="center"/>
          </w:tcPr>
          <w:p>
            <w:pPr>
              <w:pStyle w:val="13"/>
            </w:pPr>
            <w:r>
              <w:t>≤400万元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装点街路数量</w:t>
            </w:r>
          </w:p>
        </w:tc>
        <w:tc>
          <w:tcPr>
            <w:tcW w:w="5386" w:type="dxa"/>
            <w:vAlign w:val="center"/>
          </w:tcPr>
          <w:p>
            <w:pPr>
              <w:pStyle w:val="13"/>
            </w:pPr>
            <w:r>
              <w:t>装点街路数量</w:t>
            </w:r>
          </w:p>
        </w:tc>
        <w:tc>
          <w:tcPr>
            <w:tcW w:w="2268" w:type="dxa"/>
            <w:vAlign w:val="center"/>
          </w:tcPr>
          <w:p>
            <w:pPr>
              <w:pStyle w:val="13"/>
            </w:pPr>
            <w:r>
              <w:t>29条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工程竣工验收情况</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工程竣工及时性</w:t>
            </w:r>
          </w:p>
        </w:tc>
        <w:tc>
          <w:tcPr>
            <w:tcW w:w="5386" w:type="dxa"/>
            <w:vAlign w:val="center"/>
          </w:tcPr>
          <w:p>
            <w:pPr>
              <w:pStyle w:val="13"/>
            </w:pPr>
            <w:r>
              <w:t>在合同约定的工期内竣工，无延期</w:t>
            </w:r>
          </w:p>
        </w:tc>
        <w:tc>
          <w:tcPr>
            <w:tcW w:w="2268" w:type="dxa"/>
            <w:vAlign w:val="center"/>
          </w:tcPr>
          <w:p>
            <w:pPr>
              <w:pStyle w:val="13"/>
            </w:pPr>
            <w:r>
              <w:t>2024年12月31日前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提升城市环境气氛</w:t>
            </w:r>
          </w:p>
        </w:tc>
        <w:tc>
          <w:tcPr>
            <w:tcW w:w="5386" w:type="dxa"/>
            <w:vAlign w:val="center"/>
          </w:tcPr>
          <w:p>
            <w:pPr>
              <w:pStyle w:val="13"/>
            </w:pPr>
            <w:r>
              <w:t>提升市容美化亮化效果</w:t>
            </w:r>
          </w:p>
        </w:tc>
        <w:tc>
          <w:tcPr>
            <w:tcW w:w="2268" w:type="dxa"/>
            <w:vAlign w:val="center"/>
          </w:tcPr>
          <w:p>
            <w:pPr>
              <w:pStyle w:val="13"/>
            </w:pPr>
            <w:r>
              <w:t>有效提升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设施使用年限</w:t>
            </w:r>
          </w:p>
        </w:tc>
        <w:tc>
          <w:tcPr>
            <w:tcW w:w="5386" w:type="dxa"/>
            <w:vAlign w:val="center"/>
          </w:tcPr>
          <w:p>
            <w:pPr>
              <w:pStyle w:val="13"/>
            </w:pPr>
            <w:r>
              <w:t>设施使用年限达到预期标准</w:t>
            </w:r>
          </w:p>
        </w:tc>
        <w:tc>
          <w:tcPr>
            <w:tcW w:w="2268" w:type="dxa"/>
            <w:vAlign w:val="center"/>
          </w:tcPr>
          <w:p>
            <w:pPr>
              <w:pStyle w:val="13"/>
            </w:pPr>
            <w:r>
              <w:t>≥1年</w:t>
            </w:r>
          </w:p>
        </w:tc>
        <w:tc>
          <w:tcPr>
            <w:tcW w:w="1276" w:type="dxa"/>
            <w:vAlign w:val="center"/>
          </w:tcPr>
          <w:p>
            <w:pPr>
              <w:pStyle w:val="13"/>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18、2024年公益性亮化项目维修养护绩效目标表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13080024P00005310006F</w:t>
            </w:r>
          </w:p>
        </w:tc>
        <w:tc>
          <w:tcPr>
            <w:tcW w:w="2835" w:type="dxa"/>
            <w:vAlign w:val="center"/>
          </w:tcPr>
          <w:p>
            <w:pPr>
              <w:pStyle w:val="11"/>
            </w:pPr>
            <w:r>
              <w:t>项目名称</w:t>
            </w:r>
          </w:p>
        </w:tc>
        <w:tc>
          <w:tcPr>
            <w:tcW w:w="6095" w:type="dxa"/>
            <w:gridSpan w:val="3"/>
            <w:vAlign w:val="center"/>
          </w:tcPr>
          <w:p>
            <w:pPr>
              <w:pStyle w:val="13"/>
            </w:pPr>
            <w:r>
              <w:t>2024年公益性亮化项目维修养护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200.95</w:t>
            </w:r>
          </w:p>
        </w:tc>
        <w:tc>
          <w:tcPr>
            <w:tcW w:w="2835" w:type="dxa"/>
            <w:vAlign w:val="center"/>
          </w:tcPr>
          <w:p>
            <w:pPr>
              <w:pStyle w:val="11"/>
            </w:pPr>
            <w:r>
              <w:t>其中：财政    资金</w:t>
            </w:r>
          </w:p>
        </w:tc>
        <w:tc>
          <w:tcPr>
            <w:tcW w:w="2551" w:type="dxa"/>
            <w:vAlign w:val="center"/>
          </w:tcPr>
          <w:p>
            <w:pPr>
              <w:pStyle w:val="13"/>
            </w:pPr>
            <w:r>
              <w:t>200.95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用于支付公益性亮化项目维修养护费用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95%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公益性亮化点位61处、变压器16处维修养护费用2022年度合同价为214万元；城市照明远程控制系统数据卡费用、专线占网费及远程控制日常维护费；亮化视频监控目前共有76个监控点位及后台监控设备室一处，每年运行维护费，大屏幕运维，库房租赁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公益亮化维修养护所需资金</w:t>
            </w:r>
          </w:p>
        </w:tc>
        <w:tc>
          <w:tcPr>
            <w:tcW w:w="2268" w:type="dxa"/>
            <w:vAlign w:val="center"/>
          </w:tcPr>
          <w:p>
            <w:pPr>
              <w:pStyle w:val="13"/>
            </w:pPr>
            <w:r>
              <w:t>≤350万元</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维护照明点位及变压器等</w:t>
            </w:r>
          </w:p>
        </w:tc>
        <w:tc>
          <w:tcPr>
            <w:tcW w:w="5386" w:type="dxa"/>
            <w:vAlign w:val="center"/>
          </w:tcPr>
          <w:p>
            <w:pPr>
              <w:pStyle w:val="13"/>
            </w:pPr>
            <w:r>
              <w:t>数量指标值建议为公益性亮化点位61处、变压器16处维修养护、亮化视频监控76个点位</w:t>
            </w:r>
          </w:p>
        </w:tc>
        <w:tc>
          <w:tcPr>
            <w:tcW w:w="2268" w:type="dxa"/>
            <w:vAlign w:val="center"/>
          </w:tcPr>
          <w:p>
            <w:pPr>
              <w:pStyle w:val="13"/>
            </w:pPr>
            <w:r>
              <w:t>76个</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亮化情况</w:t>
            </w:r>
          </w:p>
        </w:tc>
        <w:tc>
          <w:tcPr>
            <w:tcW w:w="2268" w:type="dxa"/>
            <w:vAlign w:val="center"/>
          </w:tcPr>
          <w:p>
            <w:pPr>
              <w:pStyle w:val="13"/>
            </w:pPr>
            <w:r>
              <w:t>100%</w:t>
            </w:r>
          </w:p>
        </w:tc>
        <w:tc>
          <w:tcPr>
            <w:tcW w:w="1276" w:type="dxa"/>
            <w:vAlign w:val="center"/>
          </w:tcPr>
          <w:p>
            <w:pPr>
              <w:pStyle w:val="13"/>
            </w:pPr>
            <w:r>
              <w:t>实际使用情况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在2024年度对城市照明进行维护</w:t>
            </w:r>
          </w:p>
        </w:tc>
        <w:tc>
          <w:tcPr>
            <w:tcW w:w="5386" w:type="dxa"/>
            <w:vAlign w:val="center"/>
          </w:tcPr>
          <w:p>
            <w:pPr>
              <w:pStyle w:val="13"/>
            </w:pPr>
            <w:r>
              <w:t>在项目年度（1年）内保证城市照明的正常运转</w:t>
            </w:r>
          </w:p>
        </w:tc>
        <w:tc>
          <w:tcPr>
            <w:tcW w:w="2268" w:type="dxa"/>
            <w:vAlign w:val="center"/>
          </w:tcPr>
          <w:p>
            <w:pPr>
              <w:pStyle w:val="13"/>
            </w:pPr>
            <w:r>
              <w:t>2024年12月31日前完成</w:t>
            </w:r>
          </w:p>
        </w:tc>
        <w:tc>
          <w:tcPr>
            <w:tcW w:w="1276" w:type="dxa"/>
            <w:vAlign w:val="center"/>
          </w:tcPr>
          <w:p>
            <w:pPr>
              <w:pStyle w:val="13"/>
            </w:pPr>
            <w:r>
              <w:t>实际完成时间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城市照明和群众幸福感</w:t>
            </w:r>
          </w:p>
        </w:tc>
        <w:tc>
          <w:tcPr>
            <w:tcW w:w="5386" w:type="dxa"/>
            <w:vAlign w:val="center"/>
          </w:tcPr>
          <w:p>
            <w:pPr>
              <w:pStyle w:val="13"/>
            </w:pPr>
            <w:r>
              <w:t>城市点位照明正常运转，群众幸福指数提升</w:t>
            </w:r>
          </w:p>
        </w:tc>
        <w:tc>
          <w:tcPr>
            <w:tcW w:w="2268" w:type="dxa"/>
            <w:vAlign w:val="center"/>
          </w:tcPr>
          <w:p>
            <w:pPr>
              <w:pStyle w:val="13"/>
            </w:pPr>
            <w:r>
              <w:t>照明能正常使用，群众幸福指数提升</w:t>
            </w:r>
          </w:p>
        </w:tc>
        <w:tc>
          <w:tcPr>
            <w:tcW w:w="1276" w:type="dxa"/>
            <w:vAlign w:val="center"/>
          </w:tcPr>
          <w:p>
            <w:pPr>
              <w:pStyle w:val="13"/>
            </w:pPr>
            <w:r>
              <w:t>实际效益结果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确保所有点位、变压器以及控制系统正常运行</w:t>
            </w:r>
          </w:p>
        </w:tc>
        <w:tc>
          <w:tcPr>
            <w:tcW w:w="2268" w:type="dxa"/>
            <w:vAlign w:val="center"/>
          </w:tcPr>
          <w:p>
            <w:pPr>
              <w:pStyle w:val="13"/>
            </w:pPr>
            <w:r>
              <w:t>确保所有点位、变压器以及控制系统正常运行</w:t>
            </w:r>
          </w:p>
        </w:tc>
        <w:tc>
          <w:tcPr>
            <w:tcW w:w="1276" w:type="dxa"/>
            <w:vAlign w:val="center"/>
          </w:tcPr>
          <w:p>
            <w:pPr>
              <w:pStyle w:val="13"/>
            </w:pPr>
            <w:r>
              <w:t>所有点位、变压器以及控制系统正常运行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社会群众对亮化质量满意度</w:t>
            </w:r>
          </w:p>
        </w:tc>
        <w:tc>
          <w:tcPr>
            <w:tcW w:w="2268" w:type="dxa"/>
            <w:vAlign w:val="center"/>
          </w:tcPr>
          <w:p>
            <w:pPr>
              <w:pStyle w:val="13"/>
            </w:pPr>
            <w:r>
              <w:t>≥90%</w:t>
            </w:r>
          </w:p>
        </w:tc>
        <w:tc>
          <w:tcPr>
            <w:tcW w:w="1276" w:type="dxa"/>
            <w:vAlign w:val="center"/>
          </w:tcPr>
          <w:p>
            <w:pPr>
              <w:pStyle w:val="13"/>
            </w:pPr>
            <w:r>
              <w:t>实际调查结果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19、2025年度公益亮化项目维修养护绩效目标表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13080025P000016100062</w:t>
            </w:r>
          </w:p>
        </w:tc>
        <w:tc>
          <w:tcPr>
            <w:tcW w:w="2835" w:type="dxa"/>
            <w:vAlign w:val="center"/>
          </w:tcPr>
          <w:p>
            <w:pPr>
              <w:pStyle w:val="11"/>
            </w:pPr>
            <w:r>
              <w:t>项目名称</w:t>
            </w:r>
          </w:p>
        </w:tc>
        <w:tc>
          <w:tcPr>
            <w:tcW w:w="6095" w:type="dxa"/>
            <w:gridSpan w:val="3"/>
            <w:vAlign w:val="center"/>
          </w:tcPr>
          <w:p>
            <w:pPr>
              <w:pStyle w:val="13"/>
            </w:pPr>
            <w:r>
              <w:t>2025年度公益亮化项目维修养护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340.00</w:t>
            </w:r>
          </w:p>
        </w:tc>
        <w:tc>
          <w:tcPr>
            <w:tcW w:w="2835" w:type="dxa"/>
            <w:vAlign w:val="center"/>
          </w:tcPr>
          <w:p>
            <w:pPr>
              <w:pStyle w:val="11"/>
            </w:pPr>
            <w:r>
              <w:t>其中：财政    资金</w:t>
            </w:r>
          </w:p>
        </w:tc>
        <w:tc>
          <w:tcPr>
            <w:tcW w:w="2551" w:type="dxa"/>
            <w:vAlign w:val="center"/>
          </w:tcPr>
          <w:p>
            <w:pPr>
              <w:pStyle w:val="13"/>
            </w:pPr>
            <w:r>
              <w:t>340.00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用于支付公益性亮化项目维修养护资金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1.2025年支付资金340万元，完成公益性亮化项目维修养护工作，保证合同约定的亮化点位正常运行。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公益亮化维修养护所需资金</w:t>
            </w:r>
          </w:p>
        </w:tc>
        <w:tc>
          <w:tcPr>
            <w:tcW w:w="2268" w:type="dxa"/>
            <w:vAlign w:val="center"/>
          </w:tcPr>
          <w:p>
            <w:pPr>
              <w:pStyle w:val="13"/>
            </w:pPr>
            <w:r>
              <w:t>≤340万元</w:t>
            </w:r>
          </w:p>
        </w:tc>
        <w:tc>
          <w:tcPr>
            <w:tcW w:w="1276" w:type="dxa"/>
            <w:vAlign w:val="center"/>
          </w:tcPr>
          <w:p>
            <w:pPr>
              <w:pStyle w:val="13"/>
            </w:pPr>
            <w:r>
              <w:t>年初预算安排</w:t>
            </w:r>
          </w:p>
          <w:p>
            <w:pPr>
              <w:pStyle w:val="13"/>
            </w:pPr>
            <w:r>
              <w:t>合同约定</w:t>
            </w:r>
          </w:p>
          <w:p>
            <w:pPr>
              <w:pStyle w:val="13"/>
            </w:pPr>
            <w:r>
              <w:t>"</w:t>
            </w:r>
          </w:p>
          <w:p>
            <w:pPr>
              <w:pStyle w:val="13"/>
            </w:pPr>
            <w:r>
              <w:t>合同约定"</w:t>
            </w:r>
          </w:p>
          <w:p>
            <w:pPr>
              <w:pStyle w:val="13"/>
            </w:pPr>
            <w:r>
              <w:t>合同约定</w:t>
            </w:r>
          </w:p>
          <w:p>
            <w:pPr>
              <w:pStyle w:val="13"/>
            </w:pPr>
            <w:r>
              <w:t>合同约定</w:t>
            </w:r>
          </w:p>
          <w:p>
            <w:pPr>
              <w:pStyle w:val="13"/>
            </w:pPr>
            <w:r>
              <w:t>资产管理相关规定</w:t>
            </w:r>
          </w:p>
          <w:p>
            <w:pPr>
              <w:pStyle w:val="13"/>
            </w:pPr>
            <w:r>
              <w:t>实际调查结果</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维护照明点位及变压器等</w:t>
            </w:r>
          </w:p>
        </w:tc>
        <w:tc>
          <w:tcPr>
            <w:tcW w:w="5386" w:type="dxa"/>
            <w:vAlign w:val="center"/>
          </w:tcPr>
          <w:p>
            <w:pPr>
              <w:pStyle w:val="13"/>
            </w:pPr>
            <w:r>
              <w:t>公益性亮化点位61处</w:t>
            </w:r>
          </w:p>
        </w:tc>
        <w:tc>
          <w:tcPr>
            <w:tcW w:w="2268" w:type="dxa"/>
            <w:vAlign w:val="center"/>
          </w:tcPr>
          <w:p>
            <w:pPr>
              <w:pStyle w:val="13"/>
            </w:pPr>
            <w:r>
              <w:t>≥61处</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维修养护达标率</w:t>
            </w:r>
          </w:p>
        </w:tc>
        <w:tc>
          <w:tcPr>
            <w:tcW w:w="5386" w:type="dxa"/>
            <w:vAlign w:val="center"/>
          </w:tcPr>
          <w:p>
            <w:pPr>
              <w:pStyle w:val="13"/>
            </w:pPr>
            <w:r>
              <w:t>反映维修养护达标情况</w:t>
            </w:r>
          </w:p>
        </w:tc>
        <w:tc>
          <w:tcPr>
            <w:tcW w:w="2268" w:type="dxa"/>
            <w:vAlign w:val="center"/>
          </w:tcPr>
          <w:p>
            <w:pPr>
              <w:pStyle w:val="13"/>
            </w:pPr>
            <w:r>
              <w:t>100%</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维修养护及时率</w:t>
            </w:r>
          </w:p>
        </w:tc>
        <w:tc>
          <w:tcPr>
            <w:tcW w:w="5386" w:type="dxa"/>
            <w:vAlign w:val="center"/>
          </w:tcPr>
          <w:p>
            <w:pPr>
              <w:pStyle w:val="13"/>
            </w:pPr>
            <w:r>
              <w:t>反映出现问题后维修养护工作的及时性</w:t>
            </w:r>
          </w:p>
        </w:tc>
        <w:tc>
          <w:tcPr>
            <w:tcW w:w="2268" w:type="dxa"/>
            <w:vAlign w:val="center"/>
          </w:tcPr>
          <w:p>
            <w:pPr>
              <w:pStyle w:val="13"/>
            </w:pPr>
            <w:r>
              <w:t>≥90%</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设施正常运转率</w:t>
            </w:r>
          </w:p>
        </w:tc>
        <w:tc>
          <w:tcPr>
            <w:tcW w:w="5386" w:type="dxa"/>
            <w:vAlign w:val="center"/>
          </w:tcPr>
          <w:p>
            <w:pPr>
              <w:pStyle w:val="13"/>
            </w:pPr>
            <w:r>
              <w:t>反映设施功能运转情况</w:t>
            </w:r>
          </w:p>
        </w:tc>
        <w:tc>
          <w:tcPr>
            <w:tcW w:w="2268" w:type="dxa"/>
            <w:vAlign w:val="center"/>
          </w:tcPr>
          <w:p>
            <w:pPr>
              <w:pStyle w:val="13"/>
            </w:pPr>
            <w:r>
              <w:t>≥90%</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资产可持续使用年限</w:t>
            </w:r>
          </w:p>
        </w:tc>
        <w:tc>
          <w:tcPr>
            <w:tcW w:w="5386" w:type="dxa"/>
            <w:vAlign w:val="center"/>
          </w:tcPr>
          <w:p>
            <w:pPr>
              <w:pStyle w:val="13"/>
            </w:pPr>
            <w:r>
              <w:t>反映亮化项目形成的固定资</w:t>
            </w:r>
          </w:p>
          <w:p>
            <w:pPr>
              <w:pStyle w:val="13"/>
            </w:pPr>
            <w:r>
              <w:t>产可持续使用的年限</w:t>
            </w:r>
          </w:p>
        </w:tc>
        <w:tc>
          <w:tcPr>
            <w:tcW w:w="2268" w:type="dxa"/>
            <w:vAlign w:val="center"/>
          </w:tcPr>
          <w:p>
            <w:pPr>
              <w:pStyle w:val="13"/>
            </w:pPr>
            <w:r>
              <w:t>≥1年</w:t>
            </w:r>
          </w:p>
        </w:tc>
        <w:tc>
          <w:tcPr>
            <w:tcW w:w="1276" w:type="dxa"/>
            <w:vAlign w:val="center"/>
          </w:tcPr>
          <w:p>
            <w:pPr>
              <w:pStyle w:val="13"/>
            </w:pPr>
            <w:r>
              <w:t>资产管理相关规定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社会群众对亮化质量的满意度</w:t>
            </w:r>
          </w:p>
        </w:tc>
        <w:tc>
          <w:tcPr>
            <w:tcW w:w="2268" w:type="dxa"/>
            <w:vAlign w:val="center"/>
          </w:tcPr>
          <w:p>
            <w:pPr>
              <w:pStyle w:val="13"/>
            </w:pPr>
            <w:r>
              <w:t>≥97%</w:t>
            </w:r>
          </w:p>
        </w:tc>
        <w:tc>
          <w:tcPr>
            <w:tcW w:w="1276" w:type="dxa"/>
            <w:vAlign w:val="center"/>
          </w:tcPr>
          <w:p>
            <w:pPr>
              <w:pStyle w:val="13"/>
            </w:pPr>
            <w:r>
              <w:t>实际调查结果</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20、广仁大街道路改造项目绩效目标表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13080023P000126100039</w:t>
            </w:r>
          </w:p>
        </w:tc>
        <w:tc>
          <w:tcPr>
            <w:tcW w:w="2835" w:type="dxa"/>
            <w:vAlign w:val="center"/>
          </w:tcPr>
          <w:p>
            <w:pPr>
              <w:pStyle w:val="11"/>
            </w:pPr>
            <w:r>
              <w:t>项目名称</w:t>
            </w:r>
          </w:p>
        </w:tc>
        <w:tc>
          <w:tcPr>
            <w:tcW w:w="6095" w:type="dxa"/>
            <w:gridSpan w:val="3"/>
            <w:vAlign w:val="center"/>
          </w:tcPr>
          <w:p>
            <w:pPr>
              <w:pStyle w:val="13"/>
            </w:pPr>
            <w:r>
              <w:t>广仁大街道路改造项目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96.18</w:t>
            </w:r>
          </w:p>
        </w:tc>
        <w:tc>
          <w:tcPr>
            <w:tcW w:w="2835" w:type="dxa"/>
            <w:vAlign w:val="center"/>
          </w:tcPr>
          <w:p>
            <w:pPr>
              <w:pStyle w:val="11"/>
            </w:pPr>
            <w:r>
              <w:t>其中：财政    资金</w:t>
            </w:r>
          </w:p>
        </w:tc>
        <w:tc>
          <w:tcPr>
            <w:tcW w:w="2551" w:type="dxa"/>
            <w:vAlign w:val="center"/>
          </w:tcPr>
          <w:p>
            <w:pPr>
              <w:pStyle w:val="13"/>
            </w:pPr>
            <w:r>
              <w:t>96.18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用于支付广仁大街工程资金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度内，花费资金96.17万元，完成人行道改造范围为火神庙至下营房加油站段；绿化改造范围为火神庙至水泉沟南口路段两侧绿化分车带。在市医院、儿童医院、头牌楼小学等人流量较大处及现有分车隔离带部位停车点，规范停车。</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项目建设成本</w:t>
            </w:r>
          </w:p>
        </w:tc>
        <w:tc>
          <w:tcPr>
            <w:tcW w:w="5386" w:type="dxa"/>
            <w:vAlign w:val="center"/>
          </w:tcPr>
          <w:p>
            <w:pPr>
              <w:pStyle w:val="13"/>
            </w:pPr>
            <w:r>
              <w:t>反映项目所需资金数额</w:t>
            </w:r>
          </w:p>
        </w:tc>
        <w:tc>
          <w:tcPr>
            <w:tcW w:w="2268" w:type="dxa"/>
            <w:vAlign w:val="center"/>
          </w:tcPr>
          <w:p>
            <w:pPr>
              <w:pStyle w:val="13"/>
            </w:pPr>
            <w:r>
              <w:t>96.17万元</w:t>
            </w:r>
          </w:p>
        </w:tc>
        <w:tc>
          <w:tcPr>
            <w:tcW w:w="1276" w:type="dxa"/>
            <w:vAlign w:val="center"/>
          </w:tcPr>
          <w:p>
            <w:pPr>
              <w:pStyle w:val="13"/>
            </w:pPr>
            <w:r>
              <w:t>根据合同约定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工程改造分类数</w:t>
            </w:r>
          </w:p>
        </w:tc>
        <w:tc>
          <w:tcPr>
            <w:tcW w:w="5386" w:type="dxa"/>
            <w:vAlign w:val="center"/>
          </w:tcPr>
          <w:p>
            <w:pPr>
              <w:pStyle w:val="13"/>
            </w:pPr>
            <w:r>
              <w:t>反映工程改造范围分类数量</w:t>
            </w:r>
          </w:p>
        </w:tc>
        <w:tc>
          <w:tcPr>
            <w:tcW w:w="2268" w:type="dxa"/>
            <w:vAlign w:val="center"/>
          </w:tcPr>
          <w:p>
            <w:pPr>
              <w:pStyle w:val="13"/>
            </w:pPr>
            <w:r>
              <w:t>2类</w:t>
            </w:r>
          </w:p>
        </w:tc>
        <w:tc>
          <w:tcPr>
            <w:tcW w:w="1276" w:type="dxa"/>
            <w:vAlign w:val="center"/>
          </w:tcPr>
          <w:p>
            <w:pPr>
              <w:pStyle w:val="13"/>
            </w:pPr>
            <w:r>
              <w:t>工程施工内容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竣工验收合格率</w:t>
            </w:r>
          </w:p>
        </w:tc>
        <w:tc>
          <w:tcPr>
            <w:tcW w:w="5386" w:type="dxa"/>
            <w:vAlign w:val="center"/>
          </w:tcPr>
          <w:p>
            <w:pPr>
              <w:pStyle w:val="13"/>
            </w:pPr>
            <w:r>
              <w:t>反映工程完工后合格率</w:t>
            </w:r>
          </w:p>
        </w:tc>
        <w:tc>
          <w:tcPr>
            <w:tcW w:w="2268" w:type="dxa"/>
            <w:vAlign w:val="center"/>
          </w:tcPr>
          <w:p>
            <w:pPr>
              <w:pStyle w:val="13"/>
            </w:pPr>
            <w:r>
              <w:t>100%</w:t>
            </w:r>
          </w:p>
        </w:tc>
        <w:tc>
          <w:tcPr>
            <w:tcW w:w="1276" w:type="dxa"/>
            <w:vAlign w:val="center"/>
          </w:tcPr>
          <w:p>
            <w:pPr>
              <w:pStyle w:val="13"/>
            </w:pPr>
            <w:r>
              <w:t>招标文件要求标准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合同工期</w:t>
            </w:r>
          </w:p>
        </w:tc>
        <w:tc>
          <w:tcPr>
            <w:tcW w:w="5386" w:type="dxa"/>
            <w:vAlign w:val="center"/>
          </w:tcPr>
          <w:p>
            <w:pPr>
              <w:pStyle w:val="13"/>
            </w:pPr>
            <w:r>
              <w:t>在合同规定期限内完成</w:t>
            </w:r>
          </w:p>
        </w:tc>
        <w:tc>
          <w:tcPr>
            <w:tcW w:w="2268" w:type="dxa"/>
            <w:vAlign w:val="center"/>
          </w:tcPr>
          <w:p>
            <w:pPr>
              <w:pStyle w:val="13"/>
            </w:pPr>
            <w:r>
              <w:t>2025年12月底前完成</w:t>
            </w:r>
          </w:p>
        </w:tc>
        <w:tc>
          <w:tcPr>
            <w:tcW w:w="1276" w:type="dxa"/>
            <w:vAlign w:val="center"/>
          </w:tcPr>
          <w:p>
            <w:pPr>
              <w:pStyle w:val="13"/>
            </w:pPr>
            <w:r>
              <w:t>按照合同约定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巩固提升生态环境质量</w:t>
            </w:r>
          </w:p>
        </w:tc>
        <w:tc>
          <w:tcPr>
            <w:tcW w:w="2268" w:type="dxa"/>
            <w:vAlign w:val="center"/>
          </w:tcPr>
          <w:p>
            <w:pPr>
              <w:pStyle w:val="13"/>
            </w:pPr>
            <w:r>
              <w:t>≥30%</w:t>
            </w:r>
          </w:p>
        </w:tc>
        <w:tc>
          <w:tcPr>
            <w:tcW w:w="1276" w:type="dxa"/>
            <w:vAlign w:val="center"/>
          </w:tcPr>
          <w:p>
            <w:pPr>
              <w:pStyle w:val="13"/>
            </w:pPr>
            <w: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使该建筑可持续使用</w:t>
            </w:r>
          </w:p>
        </w:tc>
        <w:tc>
          <w:tcPr>
            <w:tcW w:w="5386" w:type="dxa"/>
            <w:vAlign w:val="center"/>
          </w:tcPr>
          <w:p>
            <w:pPr>
              <w:pStyle w:val="13"/>
            </w:pPr>
            <w:r>
              <w:t>针对改造完毕的可持续提供使用年限</w:t>
            </w:r>
          </w:p>
        </w:tc>
        <w:tc>
          <w:tcPr>
            <w:tcW w:w="2268" w:type="dxa"/>
            <w:vAlign w:val="center"/>
          </w:tcPr>
          <w:p>
            <w:pPr>
              <w:pStyle w:val="13"/>
            </w:pPr>
            <w:r>
              <w:t>≥2年</w:t>
            </w:r>
          </w:p>
        </w:tc>
        <w:tc>
          <w:tcPr>
            <w:tcW w:w="1276" w:type="dxa"/>
            <w:vAlign w:val="center"/>
          </w:tcPr>
          <w:p>
            <w:pPr>
              <w:pStyle w:val="13"/>
            </w:pPr>
            <w:r>
              <w:t>根据实际建筑利用程度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社会群众满意度</w:t>
            </w:r>
          </w:p>
        </w:tc>
        <w:tc>
          <w:tcPr>
            <w:tcW w:w="5386" w:type="dxa"/>
            <w:vAlign w:val="center"/>
          </w:tcPr>
          <w:p>
            <w:pPr>
              <w:pStyle w:val="13"/>
            </w:pPr>
            <w:r>
              <w:t>社会群众对道路改造的满意度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21、边远地段绿地养护购买服务费绩效目标表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13080024P00003710007B</w:t>
            </w:r>
          </w:p>
        </w:tc>
        <w:tc>
          <w:tcPr>
            <w:tcW w:w="2835" w:type="dxa"/>
            <w:vAlign w:val="center"/>
          </w:tcPr>
          <w:p>
            <w:pPr>
              <w:pStyle w:val="11"/>
            </w:pPr>
            <w:r>
              <w:t>项目名称</w:t>
            </w:r>
          </w:p>
        </w:tc>
        <w:tc>
          <w:tcPr>
            <w:tcW w:w="6095" w:type="dxa"/>
            <w:gridSpan w:val="3"/>
            <w:vAlign w:val="center"/>
          </w:tcPr>
          <w:p>
            <w:pPr>
              <w:pStyle w:val="13"/>
            </w:pPr>
            <w:r>
              <w:t>边远地段绿地养护购买服务费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136.30</w:t>
            </w:r>
          </w:p>
        </w:tc>
        <w:tc>
          <w:tcPr>
            <w:tcW w:w="2835" w:type="dxa"/>
            <w:vAlign w:val="center"/>
          </w:tcPr>
          <w:p>
            <w:pPr>
              <w:pStyle w:val="11"/>
            </w:pPr>
            <w:r>
              <w:t>其中：财政    资金</w:t>
            </w:r>
          </w:p>
        </w:tc>
        <w:tc>
          <w:tcPr>
            <w:tcW w:w="2551" w:type="dxa"/>
            <w:vAlign w:val="center"/>
          </w:tcPr>
          <w:p>
            <w:pPr>
              <w:pStyle w:val="13"/>
            </w:pPr>
            <w:r>
              <w:t>136.30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用于支付边远地段绿地养护购买服务费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95%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丹霞大道（阎营子丁字路口至四道沟小桥）、畅远东路（南互通承秦高速入口-西营子隧道入口高架桥下）、畅远西路（凤凰山大桥下至承限管界界牌）、半壁山延长线（半壁山路与虹云岭路交界点至长北沟隧道口）、石洞子沟延长线（虹云岭路石洞子沟交界点至元宝山隧道口）、单狮线（单塔子隧道口至水泉沟桥头）、安远路段（北环武烈河大桥桥西至双峰寺大桥），道路两侧绿地及园林设施管护工作对外发包养护。做到园林植物生长势良好，卫生洁净，园林设施正常使用、运行，达到优美的景观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行道树养护数量</w:t>
            </w:r>
          </w:p>
        </w:tc>
        <w:tc>
          <w:tcPr>
            <w:tcW w:w="5386" w:type="dxa"/>
            <w:vAlign w:val="center"/>
          </w:tcPr>
          <w:p>
            <w:pPr>
              <w:pStyle w:val="13"/>
            </w:pPr>
            <w:r>
              <w:t>所养护行道树数量</w:t>
            </w:r>
          </w:p>
        </w:tc>
        <w:tc>
          <w:tcPr>
            <w:tcW w:w="2268" w:type="dxa"/>
            <w:vAlign w:val="center"/>
          </w:tcPr>
          <w:p>
            <w:pPr>
              <w:pStyle w:val="13"/>
            </w:pPr>
            <w:r>
              <w:t>8327株</w:t>
            </w:r>
          </w:p>
        </w:tc>
        <w:tc>
          <w:tcPr>
            <w:tcW w:w="1276" w:type="dxa"/>
            <w:vAlign w:val="center"/>
          </w:tcPr>
          <w:p>
            <w:pPr>
              <w:pStyle w:val="13"/>
            </w:pPr>
            <w:r>
              <w:t>合同要求，工作记录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管护绿地卫生保洁面积</w:t>
            </w:r>
          </w:p>
        </w:tc>
        <w:tc>
          <w:tcPr>
            <w:tcW w:w="5386" w:type="dxa"/>
            <w:vAlign w:val="center"/>
          </w:tcPr>
          <w:p>
            <w:pPr>
              <w:pStyle w:val="13"/>
            </w:pPr>
            <w:r>
              <w:t>管护绿地卫生保洁面积</w:t>
            </w:r>
          </w:p>
        </w:tc>
        <w:tc>
          <w:tcPr>
            <w:tcW w:w="2268" w:type="dxa"/>
            <w:vAlign w:val="center"/>
          </w:tcPr>
          <w:p>
            <w:pPr>
              <w:pStyle w:val="13"/>
            </w:pPr>
            <w:r>
              <w:t>20.25公顷</w:t>
            </w:r>
          </w:p>
        </w:tc>
        <w:tc>
          <w:tcPr>
            <w:tcW w:w="1276" w:type="dxa"/>
            <w:vAlign w:val="center"/>
          </w:tcPr>
          <w:p>
            <w:pPr>
              <w:pStyle w:val="13"/>
            </w:pPr>
            <w:r>
              <w:t>合同要求，工作记录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管护绿地卫生保洁质量</w:t>
            </w:r>
          </w:p>
        </w:tc>
        <w:tc>
          <w:tcPr>
            <w:tcW w:w="5386" w:type="dxa"/>
            <w:vAlign w:val="center"/>
          </w:tcPr>
          <w:p>
            <w:pPr>
              <w:pStyle w:val="13"/>
            </w:pPr>
            <w:r>
              <w:t>管护绿地卫生保洁质量</w:t>
            </w:r>
          </w:p>
        </w:tc>
        <w:tc>
          <w:tcPr>
            <w:tcW w:w="2268" w:type="dxa"/>
            <w:vAlign w:val="center"/>
          </w:tcPr>
          <w:p>
            <w:pPr>
              <w:pStyle w:val="13"/>
            </w:pPr>
            <w:r>
              <w:t>验收合格</w:t>
            </w:r>
          </w:p>
        </w:tc>
        <w:tc>
          <w:tcPr>
            <w:tcW w:w="1276" w:type="dxa"/>
            <w:vAlign w:val="center"/>
          </w:tcPr>
          <w:p>
            <w:pPr>
              <w:pStyle w:val="13"/>
            </w:pPr>
            <w:r>
              <w:t>合同要求，工作记录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行道树养护质量</w:t>
            </w:r>
          </w:p>
        </w:tc>
        <w:tc>
          <w:tcPr>
            <w:tcW w:w="5386" w:type="dxa"/>
            <w:vAlign w:val="center"/>
          </w:tcPr>
          <w:p>
            <w:pPr>
              <w:pStyle w:val="13"/>
            </w:pPr>
            <w:r>
              <w:t>所养护行道树质量达到标准</w:t>
            </w:r>
          </w:p>
        </w:tc>
        <w:tc>
          <w:tcPr>
            <w:tcW w:w="2268" w:type="dxa"/>
            <w:vAlign w:val="center"/>
          </w:tcPr>
          <w:p>
            <w:pPr>
              <w:pStyle w:val="13"/>
            </w:pPr>
            <w:r>
              <w:t>验收合格</w:t>
            </w:r>
          </w:p>
        </w:tc>
        <w:tc>
          <w:tcPr>
            <w:tcW w:w="1276" w:type="dxa"/>
            <w:vAlign w:val="center"/>
          </w:tcPr>
          <w:p>
            <w:pPr>
              <w:pStyle w:val="13"/>
            </w:pPr>
            <w:r>
              <w:t>合同要求，工作记录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及时完成绿地养护及行道树养护</w:t>
            </w:r>
          </w:p>
        </w:tc>
        <w:tc>
          <w:tcPr>
            <w:tcW w:w="5386" w:type="dxa"/>
            <w:vAlign w:val="center"/>
          </w:tcPr>
          <w:p>
            <w:pPr>
              <w:pStyle w:val="13"/>
            </w:pPr>
            <w:r>
              <w:t>按计划及时完成绿地养护及行道树养护</w:t>
            </w:r>
          </w:p>
        </w:tc>
        <w:tc>
          <w:tcPr>
            <w:tcW w:w="2268" w:type="dxa"/>
            <w:vAlign w:val="center"/>
          </w:tcPr>
          <w:p>
            <w:pPr>
              <w:pStyle w:val="13"/>
            </w:pPr>
            <w:r>
              <w:t>按合同要求</w:t>
            </w:r>
          </w:p>
        </w:tc>
        <w:tc>
          <w:tcPr>
            <w:tcW w:w="1276" w:type="dxa"/>
            <w:vAlign w:val="center"/>
          </w:tcPr>
          <w:p>
            <w:pPr>
              <w:pStyle w:val="13"/>
            </w:pPr>
            <w:r>
              <w:t>合同要求，工作记录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边远道路养护总成本</w:t>
            </w:r>
          </w:p>
        </w:tc>
        <w:tc>
          <w:tcPr>
            <w:tcW w:w="5386" w:type="dxa"/>
            <w:vAlign w:val="center"/>
          </w:tcPr>
          <w:p>
            <w:pPr>
              <w:pStyle w:val="13"/>
            </w:pPr>
            <w:r>
              <w:t>边远道路养护总成本</w:t>
            </w:r>
          </w:p>
        </w:tc>
        <w:tc>
          <w:tcPr>
            <w:tcW w:w="2268" w:type="dxa"/>
            <w:vAlign w:val="center"/>
          </w:tcPr>
          <w:p>
            <w:pPr>
              <w:pStyle w:val="13"/>
            </w:pPr>
            <w:r>
              <w:t>≤183万元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无</w:t>
            </w:r>
          </w:p>
        </w:tc>
        <w:tc>
          <w:tcPr>
            <w:tcW w:w="2268" w:type="dxa"/>
            <w:vAlign w:val="center"/>
          </w:tcPr>
          <w:p>
            <w:pPr>
              <w:pStyle w:val="13"/>
            </w:pPr>
            <w:r>
              <w:t>无</w:t>
            </w:r>
          </w:p>
        </w:tc>
        <w:tc>
          <w:tcPr>
            <w:tcW w:w="1276" w:type="dxa"/>
            <w:vAlign w:val="center"/>
          </w:tcPr>
          <w:p>
            <w:pPr>
              <w:pStyle w:val="13"/>
            </w:pPr>
            <w: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美化环境</w:t>
            </w:r>
          </w:p>
        </w:tc>
        <w:tc>
          <w:tcPr>
            <w:tcW w:w="5386" w:type="dxa"/>
            <w:vAlign w:val="center"/>
          </w:tcPr>
          <w:p>
            <w:pPr>
              <w:pStyle w:val="13"/>
            </w:pPr>
            <w:r>
              <w:t>养护绿地的环境美化效果</w:t>
            </w:r>
          </w:p>
        </w:tc>
        <w:tc>
          <w:tcPr>
            <w:tcW w:w="2268" w:type="dxa"/>
            <w:vAlign w:val="center"/>
          </w:tcPr>
          <w:p>
            <w:pPr>
              <w:pStyle w:val="13"/>
            </w:pPr>
            <w:r>
              <w:t>效果显著</w:t>
            </w:r>
          </w:p>
        </w:tc>
        <w:tc>
          <w:tcPr>
            <w:tcW w:w="1276"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绿化环境提升</w:t>
            </w:r>
          </w:p>
        </w:tc>
        <w:tc>
          <w:tcPr>
            <w:tcW w:w="5386" w:type="dxa"/>
            <w:vAlign w:val="center"/>
          </w:tcPr>
          <w:p>
            <w:pPr>
              <w:pStyle w:val="13"/>
            </w:pPr>
            <w:r>
              <w:t>养护绿地的环境绿化效果</w:t>
            </w:r>
          </w:p>
        </w:tc>
        <w:tc>
          <w:tcPr>
            <w:tcW w:w="2268" w:type="dxa"/>
            <w:vAlign w:val="center"/>
          </w:tcPr>
          <w:p>
            <w:pPr>
              <w:pStyle w:val="13"/>
            </w:pPr>
            <w:r>
              <w:t>效果显著</w:t>
            </w:r>
          </w:p>
        </w:tc>
        <w:tc>
          <w:tcPr>
            <w:tcW w:w="1276"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园林绿化保持率</w:t>
            </w:r>
          </w:p>
        </w:tc>
        <w:tc>
          <w:tcPr>
            <w:tcW w:w="5386" w:type="dxa"/>
            <w:vAlign w:val="center"/>
          </w:tcPr>
          <w:p>
            <w:pPr>
              <w:pStyle w:val="13"/>
            </w:pPr>
            <w:r>
              <w:t>绿化面积保持率</w:t>
            </w:r>
          </w:p>
        </w:tc>
        <w:tc>
          <w:tcPr>
            <w:tcW w:w="2268" w:type="dxa"/>
            <w:vAlign w:val="center"/>
          </w:tcPr>
          <w:p>
            <w:pPr>
              <w:pStyle w:val="13"/>
            </w:pPr>
            <w:r>
              <w:t>可持续</w:t>
            </w:r>
          </w:p>
        </w:tc>
        <w:tc>
          <w:tcPr>
            <w:tcW w:w="1276"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群众对养护绿地满意度</w:t>
            </w:r>
          </w:p>
        </w:tc>
        <w:tc>
          <w:tcPr>
            <w:tcW w:w="2268" w:type="dxa"/>
            <w:vAlign w:val="center"/>
          </w:tcPr>
          <w:p>
            <w:pPr>
              <w:pStyle w:val="13"/>
            </w:pPr>
            <w:r>
              <w:t>≥90%</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22、边远地段绿地养护购买服务费绩效目标表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13080025P00001310002J</w:t>
            </w:r>
          </w:p>
        </w:tc>
        <w:tc>
          <w:tcPr>
            <w:tcW w:w="2835" w:type="dxa"/>
            <w:vAlign w:val="center"/>
          </w:tcPr>
          <w:p>
            <w:pPr>
              <w:pStyle w:val="11"/>
            </w:pPr>
            <w:r>
              <w:t>项目名称</w:t>
            </w:r>
          </w:p>
        </w:tc>
        <w:tc>
          <w:tcPr>
            <w:tcW w:w="6095" w:type="dxa"/>
            <w:gridSpan w:val="3"/>
            <w:vAlign w:val="center"/>
          </w:tcPr>
          <w:p>
            <w:pPr>
              <w:pStyle w:val="13"/>
            </w:pPr>
            <w:r>
              <w:t>边远地段绿地养护购买服务费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支付边远地段绿地养护购买服务费</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1.在2025年，支付150万元，完成该年度边缘地段绿化养护购买服务项目。 达到对畅远东路、丹霞大道、畅远西路、丹狮线等9条路段边远地段道路行道树及道路两侧绿地进行养护；将道路两侧进行整体规划；提高绿化覆盖率，做到除尘降噪美化环境。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道路绿地养护地段</w:t>
            </w:r>
          </w:p>
        </w:tc>
        <w:tc>
          <w:tcPr>
            <w:tcW w:w="5386" w:type="dxa"/>
            <w:vAlign w:val="center"/>
          </w:tcPr>
          <w:p>
            <w:pPr>
              <w:pStyle w:val="13"/>
            </w:pPr>
            <w:r>
              <w:t>反映绿地养护道路条数</w:t>
            </w:r>
          </w:p>
        </w:tc>
        <w:tc>
          <w:tcPr>
            <w:tcW w:w="2268" w:type="dxa"/>
            <w:vAlign w:val="center"/>
          </w:tcPr>
          <w:p>
            <w:pPr>
              <w:pStyle w:val="13"/>
            </w:pPr>
            <w:r>
              <w:t>9条</w:t>
            </w:r>
          </w:p>
        </w:tc>
        <w:tc>
          <w:tcPr>
            <w:tcW w:w="1276" w:type="dxa"/>
            <w:vAlign w:val="center"/>
          </w:tcPr>
          <w:p>
            <w:pPr>
              <w:pStyle w:val="13"/>
            </w:pPr>
            <w:r>
              <w:t>合同约定</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道路绿地养护达标率</w:t>
            </w:r>
          </w:p>
        </w:tc>
        <w:tc>
          <w:tcPr>
            <w:tcW w:w="5386" w:type="dxa"/>
            <w:vAlign w:val="center"/>
          </w:tcPr>
          <w:p>
            <w:pPr>
              <w:pStyle w:val="13"/>
            </w:pPr>
            <w:r>
              <w:t>反映道路绿地管护工程的质量</w:t>
            </w:r>
          </w:p>
        </w:tc>
        <w:tc>
          <w:tcPr>
            <w:tcW w:w="2268" w:type="dxa"/>
            <w:vAlign w:val="center"/>
          </w:tcPr>
          <w:p>
            <w:pPr>
              <w:pStyle w:val="13"/>
            </w:pPr>
            <w:r>
              <w:t>100%</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道路绿地养护完成的及时性</w:t>
            </w:r>
          </w:p>
        </w:tc>
        <w:tc>
          <w:tcPr>
            <w:tcW w:w="5386" w:type="dxa"/>
            <w:vAlign w:val="center"/>
          </w:tcPr>
          <w:p>
            <w:pPr>
              <w:pStyle w:val="13"/>
            </w:pPr>
            <w:r>
              <w:t>反映道路绿地养护工程完成的时间</w:t>
            </w:r>
          </w:p>
        </w:tc>
        <w:tc>
          <w:tcPr>
            <w:tcW w:w="2268" w:type="dxa"/>
            <w:vAlign w:val="center"/>
          </w:tcPr>
          <w:p>
            <w:pPr>
              <w:pStyle w:val="13"/>
            </w:pPr>
            <w:r>
              <w:t>2025年12月底前</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反映道路绿地养护所花费的资金数额</w:t>
            </w:r>
          </w:p>
        </w:tc>
        <w:tc>
          <w:tcPr>
            <w:tcW w:w="2268" w:type="dxa"/>
            <w:vAlign w:val="center"/>
          </w:tcPr>
          <w:p>
            <w:pPr>
              <w:pStyle w:val="13"/>
            </w:pPr>
            <w:r>
              <w:t>≤150万元</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较聘请前提升工作效率</w:t>
            </w:r>
          </w:p>
        </w:tc>
        <w:tc>
          <w:tcPr>
            <w:tcW w:w="5386" w:type="dxa"/>
            <w:vAlign w:val="center"/>
          </w:tcPr>
          <w:p>
            <w:pPr>
              <w:pStyle w:val="13"/>
            </w:pPr>
            <w:r>
              <w:t>反映第三方机构按时、保质保量完成边远地段绿地养护服务</w:t>
            </w:r>
          </w:p>
        </w:tc>
        <w:tc>
          <w:tcPr>
            <w:tcW w:w="2268" w:type="dxa"/>
            <w:vAlign w:val="center"/>
          </w:tcPr>
          <w:p>
            <w:pPr>
              <w:pStyle w:val="13"/>
            </w:pPr>
            <w:r>
              <w:t>≥30%</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提高绿化覆盖率</w:t>
            </w:r>
          </w:p>
        </w:tc>
        <w:tc>
          <w:tcPr>
            <w:tcW w:w="5386" w:type="dxa"/>
            <w:vAlign w:val="center"/>
          </w:tcPr>
          <w:p>
            <w:pPr>
              <w:pStyle w:val="13"/>
            </w:pPr>
            <w:r>
              <w:t>反映提高绿化覆盖的范围</w:t>
            </w:r>
          </w:p>
        </w:tc>
        <w:tc>
          <w:tcPr>
            <w:tcW w:w="2268" w:type="dxa"/>
            <w:vAlign w:val="center"/>
          </w:tcPr>
          <w:p>
            <w:pPr>
              <w:pStyle w:val="13"/>
            </w:pPr>
            <w:r>
              <w:t>≥36%</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反映社会公众对绿地养护的满意度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23、城市家居设施维护、破旧广告拆除及公益性广告建设项目绩效目标表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13080024P00002510003A</w:t>
            </w:r>
          </w:p>
        </w:tc>
        <w:tc>
          <w:tcPr>
            <w:tcW w:w="2835" w:type="dxa"/>
            <w:vAlign w:val="center"/>
          </w:tcPr>
          <w:p>
            <w:pPr>
              <w:pStyle w:val="11"/>
            </w:pPr>
            <w:r>
              <w:t>项目名称</w:t>
            </w:r>
          </w:p>
        </w:tc>
        <w:tc>
          <w:tcPr>
            <w:tcW w:w="6095" w:type="dxa"/>
            <w:gridSpan w:val="3"/>
            <w:vAlign w:val="center"/>
          </w:tcPr>
          <w:p>
            <w:pPr>
              <w:pStyle w:val="13"/>
            </w:pPr>
            <w:r>
              <w:t>城市家居设施维护、破旧广告拆除及公益性广告建设项目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用于支付城市家居设施维护、破旧广告拆除及公益性广告建设项目资金</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95%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1.在2025年度内，花费资金150万元，对各类不符合城市容貌要求的设施进行拆除，提升公益宣传的准确性和实效性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建设总成本</w:t>
            </w:r>
          </w:p>
        </w:tc>
        <w:tc>
          <w:tcPr>
            <w:tcW w:w="5386" w:type="dxa"/>
            <w:vAlign w:val="center"/>
          </w:tcPr>
          <w:p>
            <w:pPr>
              <w:pStyle w:val="13"/>
            </w:pPr>
            <w:r>
              <w:t>项目建设总成本</w:t>
            </w:r>
          </w:p>
        </w:tc>
        <w:tc>
          <w:tcPr>
            <w:tcW w:w="2268" w:type="dxa"/>
            <w:vAlign w:val="center"/>
          </w:tcPr>
          <w:p>
            <w:pPr>
              <w:pStyle w:val="13"/>
            </w:pPr>
            <w:r>
              <w:t>≤150万元</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拆除设施种类</w:t>
            </w:r>
          </w:p>
        </w:tc>
        <w:tc>
          <w:tcPr>
            <w:tcW w:w="5386" w:type="dxa"/>
            <w:vAlign w:val="center"/>
          </w:tcPr>
          <w:p>
            <w:pPr>
              <w:pStyle w:val="13"/>
            </w:pPr>
            <w:r>
              <w:t>反映该工程拆除设施的种类数量</w:t>
            </w:r>
          </w:p>
        </w:tc>
        <w:tc>
          <w:tcPr>
            <w:tcW w:w="2268" w:type="dxa"/>
            <w:vAlign w:val="center"/>
          </w:tcPr>
          <w:p>
            <w:pPr>
              <w:pStyle w:val="13"/>
            </w:pPr>
            <w:r>
              <w:t>1种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竣工验收合格率</w:t>
            </w:r>
          </w:p>
        </w:tc>
        <w:tc>
          <w:tcPr>
            <w:tcW w:w="5386" w:type="dxa"/>
            <w:vAlign w:val="center"/>
          </w:tcPr>
          <w:p>
            <w:pPr>
              <w:pStyle w:val="13"/>
            </w:pPr>
            <w:r>
              <w:t>工程竣工验收情况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工程竣工及时性</w:t>
            </w:r>
          </w:p>
        </w:tc>
        <w:tc>
          <w:tcPr>
            <w:tcW w:w="5386" w:type="dxa"/>
            <w:vAlign w:val="center"/>
          </w:tcPr>
          <w:p>
            <w:pPr>
              <w:pStyle w:val="13"/>
            </w:pPr>
            <w:r>
              <w:t>反映工程竣工的时限</w:t>
            </w:r>
          </w:p>
        </w:tc>
        <w:tc>
          <w:tcPr>
            <w:tcW w:w="2268" w:type="dxa"/>
            <w:vAlign w:val="center"/>
          </w:tcPr>
          <w:p>
            <w:pPr>
              <w:pStyle w:val="13"/>
            </w:pPr>
            <w:r>
              <w:t>2025年12月31日前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加强公益宣传</w:t>
            </w:r>
          </w:p>
        </w:tc>
        <w:tc>
          <w:tcPr>
            <w:tcW w:w="5386" w:type="dxa"/>
            <w:vAlign w:val="center"/>
          </w:tcPr>
          <w:p>
            <w:pPr>
              <w:pStyle w:val="13"/>
            </w:pPr>
            <w:r>
              <w:t>反映项目的对公益宣传的加强率</w:t>
            </w:r>
          </w:p>
        </w:tc>
        <w:tc>
          <w:tcPr>
            <w:tcW w:w="2268" w:type="dxa"/>
            <w:vAlign w:val="center"/>
          </w:tcPr>
          <w:p>
            <w:pPr>
              <w:pStyle w:val="13"/>
            </w:pPr>
            <w:r>
              <w:t>≥30%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设施使用年限</w:t>
            </w:r>
          </w:p>
        </w:tc>
        <w:tc>
          <w:tcPr>
            <w:tcW w:w="5386" w:type="dxa"/>
            <w:vAlign w:val="center"/>
          </w:tcPr>
          <w:p>
            <w:pPr>
              <w:pStyle w:val="13"/>
            </w:pPr>
            <w:r>
              <w:t>设施使用年限达到预期标准</w:t>
            </w:r>
          </w:p>
        </w:tc>
        <w:tc>
          <w:tcPr>
            <w:tcW w:w="2268" w:type="dxa"/>
            <w:vAlign w:val="center"/>
          </w:tcPr>
          <w:p>
            <w:pPr>
              <w:pStyle w:val="13"/>
            </w:pPr>
            <w:r>
              <w:t>≥1年</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社会公众满意情况</w:t>
            </w:r>
          </w:p>
        </w:tc>
        <w:tc>
          <w:tcPr>
            <w:tcW w:w="5386" w:type="dxa"/>
            <w:vAlign w:val="center"/>
          </w:tcPr>
          <w:p>
            <w:pPr>
              <w:pStyle w:val="13"/>
            </w:pPr>
            <w:r>
              <w:t>社会公众满意度情况</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24、城市夜景照明配套变压器建设项目（2024）绩效目标表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13080024P00016210002A</w:t>
            </w:r>
          </w:p>
        </w:tc>
        <w:tc>
          <w:tcPr>
            <w:tcW w:w="2835" w:type="dxa"/>
            <w:vAlign w:val="center"/>
          </w:tcPr>
          <w:p>
            <w:pPr>
              <w:pStyle w:val="11"/>
            </w:pPr>
            <w:r>
              <w:t>项目名称</w:t>
            </w:r>
          </w:p>
        </w:tc>
        <w:tc>
          <w:tcPr>
            <w:tcW w:w="6095" w:type="dxa"/>
            <w:gridSpan w:val="3"/>
            <w:vAlign w:val="center"/>
          </w:tcPr>
          <w:p>
            <w:pPr>
              <w:pStyle w:val="13"/>
            </w:pPr>
            <w:r>
              <w:t>城市夜景照明配套变压器建设项目（2024）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用于支付城市夜景配套变压器建设项目资金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3000%</w:t>
            </w:r>
          </w:p>
        </w:tc>
        <w:tc>
          <w:tcPr>
            <w:tcW w:w="2551" w:type="dxa"/>
            <w:vAlign w:val="center"/>
          </w:tcPr>
          <w:p>
            <w:pPr>
              <w:pStyle w:val="14"/>
            </w:pPr>
            <w:r>
              <w:t>7000%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1.解决城市照明用电需求。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项目建设成本</w:t>
            </w:r>
          </w:p>
        </w:tc>
        <w:tc>
          <w:tcPr>
            <w:tcW w:w="5386" w:type="dxa"/>
            <w:vAlign w:val="center"/>
          </w:tcPr>
          <w:p>
            <w:pPr>
              <w:pStyle w:val="13"/>
            </w:pPr>
            <w:r>
              <w:t>项目建设成本</w:t>
            </w:r>
          </w:p>
        </w:tc>
        <w:tc>
          <w:tcPr>
            <w:tcW w:w="2268" w:type="dxa"/>
            <w:vAlign w:val="center"/>
          </w:tcPr>
          <w:p>
            <w:pPr>
              <w:pStyle w:val="13"/>
            </w:pPr>
            <w:r>
              <w:t>≤200万元</w:t>
            </w:r>
          </w:p>
        </w:tc>
        <w:tc>
          <w:tcPr>
            <w:tcW w:w="1276" w:type="dxa"/>
            <w:vAlign w:val="center"/>
          </w:tcPr>
          <w:p>
            <w:pPr>
              <w:pStyle w:val="13"/>
            </w:pPr>
            <w:r>
              <w:t>项目年初预算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配套变压器数量</w:t>
            </w:r>
          </w:p>
        </w:tc>
        <w:tc>
          <w:tcPr>
            <w:tcW w:w="5386" w:type="dxa"/>
            <w:vAlign w:val="center"/>
          </w:tcPr>
          <w:p>
            <w:pPr>
              <w:pStyle w:val="13"/>
            </w:pPr>
            <w:r>
              <w:t>配套变压器建立数量</w:t>
            </w:r>
          </w:p>
        </w:tc>
        <w:tc>
          <w:tcPr>
            <w:tcW w:w="2268" w:type="dxa"/>
            <w:vAlign w:val="center"/>
          </w:tcPr>
          <w:p>
            <w:pPr>
              <w:pStyle w:val="13"/>
            </w:pPr>
            <w:r>
              <w:t>2台</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工程完成时间</w:t>
            </w:r>
          </w:p>
        </w:tc>
        <w:tc>
          <w:tcPr>
            <w:tcW w:w="5386" w:type="dxa"/>
            <w:vAlign w:val="center"/>
          </w:tcPr>
          <w:p>
            <w:pPr>
              <w:pStyle w:val="13"/>
            </w:pPr>
            <w:r>
              <w:t>竣工时间</w:t>
            </w:r>
          </w:p>
        </w:tc>
        <w:tc>
          <w:tcPr>
            <w:tcW w:w="2268" w:type="dxa"/>
            <w:vAlign w:val="center"/>
          </w:tcPr>
          <w:p>
            <w:pPr>
              <w:pStyle w:val="13"/>
            </w:pPr>
            <w:r>
              <w:t>2024年12月底前完成</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达到招标文件要求标准</w:t>
            </w:r>
          </w:p>
        </w:tc>
        <w:tc>
          <w:tcPr>
            <w:tcW w:w="5386" w:type="dxa"/>
            <w:vAlign w:val="center"/>
          </w:tcPr>
          <w:p>
            <w:pPr>
              <w:pStyle w:val="13"/>
            </w:pPr>
            <w:r>
              <w:t>达到招标文件要求标准</w:t>
            </w:r>
          </w:p>
        </w:tc>
        <w:tc>
          <w:tcPr>
            <w:tcW w:w="2268" w:type="dxa"/>
            <w:vAlign w:val="center"/>
          </w:tcPr>
          <w:p>
            <w:pPr>
              <w:pStyle w:val="13"/>
            </w:pPr>
            <w:r>
              <w:t>工程质量达到招标文件要求标准</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项目预期使用寿命</w:t>
            </w:r>
          </w:p>
        </w:tc>
        <w:tc>
          <w:tcPr>
            <w:tcW w:w="5386" w:type="dxa"/>
            <w:vAlign w:val="center"/>
          </w:tcPr>
          <w:p>
            <w:pPr>
              <w:pStyle w:val="13"/>
            </w:pPr>
            <w:r>
              <w:t>项目预期使用寿命</w:t>
            </w:r>
          </w:p>
        </w:tc>
        <w:tc>
          <w:tcPr>
            <w:tcW w:w="2268" w:type="dxa"/>
            <w:vAlign w:val="center"/>
          </w:tcPr>
          <w:p>
            <w:pPr>
              <w:pStyle w:val="13"/>
            </w:pPr>
            <w:r>
              <w:t>≥2年</w:t>
            </w:r>
          </w:p>
        </w:tc>
        <w:tc>
          <w:tcPr>
            <w:tcW w:w="1276" w:type="dxa"/>
            <w:vAlign w:val="center"/>
          </w:tcPr>
          <w:p>
            <w:pPr>
              <w:pStyle w:val="13"/>
            </w:pPr>
            <w:r>
              <w:t>可持续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提升周边环境</w:t>
            </w:r>
          </w:p>
        </w:tc>
        <w:tc>
          <w:tcPr>
            <w:tcW w:w="5386" w:type="dxa"/>
            <w:vAlign w:val="center"/>
          </w:tcPr>
          <w:p>
            <w:pPr>
              <w:pStyle w:val="13"/>
            </w:pPr>
            <w:r>
              <w:t>提升周边环境质量</w:t>
            </w:r>
          </w:p>
        </w:tc>
        <w:tc>
          <w:tcPr>
            <w:tcW w:w="2268" w:type="dxa"/>
            <w:vAlign w:val="center"/>
          </w:tcPr>
          <w:p>
            <w:pPr>
              <w:pStyle w:val="13"/>
            </w:pPr>
            <w:r>
              <w:t>提升周边环境</w:t>
            </w:r>
          </w:p>
        </w:tc>
        <w:tc>
          <w:tcPr>
            <w:tcW w:w="1276" w:type="dxa"/>
            <w:vAlign w:val="center"/>
          </w:tcPr>
          <w:p>
            <w:pPr>
              <w:pStyle w:val="13"/>
            </w:pPr>
            <w:r>
              <w:t>巩固提升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社会群众满意度指标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实际调查结果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25、承德热力集团有限责任公司承德市中心城区供热系统节能降碳技术改造项目绩效目标表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13080024P000204100049</w:t>
            </w:r>
          </w:p>
        </w:tc>
        <w:tc>
          <w:tcPr>
            <w:tcW w:w="2835" w:type="dxa"/>
            <w:vAlign w:val="center"/>
          </w:tcPr>
          <w:p>
            <w:pPr>
              <w:pStyle w:val="11"/>
            </w:pPr>
            <w:r>
              <w:t>项目名称</w:t>
            </w:r>
          </w:p>
        </w:tc>
        <w:tc>
          <w:tcPr>
            <w:tcW w:w="6095" w:type="dxa"/>
            <w:gridSpan w:val="3"/>
            <w:vAlign w:val="center"/>
          </w:tcPr>
          <w:p>
            <w:pPr>
              <w:pStyle w:val="13"/>
            </w:pPr>
            <w:r>
              <w:t>承德热力集团有限责任公司承德市中心城区供热系统节能降碳技术改造项目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1950.00</w:t>
            </w:r>
          </w:p>
        </w:tc>
        <w:tc>
          <w:tcPr>
            <w:tcW w:w="2835" w:type="dxa"/>
            <w:vAlign w:val="center"/>
          </w:tcPr>
          <w:p>
            <w:pPr>
              <w:pStyle w:val="11"/>
            </w:pPr>
            <w:r>
              <w:t>其中：财政    资金</w:t>
            </w:r>
          </w:p>
        </w:tc>
        <w:tc>
          <w:tcPr>
            <w:tcW w:w="2551" w:type="dxa"/>
            <w:vAlign w:val="center"/>
          </w:tcPr>
          <w:p>
            <w:pPr>
              <w:pStyle w:val="13"/>
            </w:pPr>
            <w:r>
              <w:t>1950.00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用于支付承德市中心城区供热系统节能降碳技术改造项目工程资金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1.在2025年度内，花费1950万元，进行节能降碳技术改造，做到年节能量0.913万吨标煤，提升供热能力，降低污染物排放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安装的换热站数量</w:t>
            </w:r>
          </w:p>
        </w:tc>
        <w:tc>
          <w:tcPr>
            <w:tcW w:w="5386" w:type="dxa"/>
            <w:vAlign w:val="center"/>
          </w:tcPr>
          <w:p>
            <w:pPr>
              <w:pStyle w:val="13"/>
            </w:pPr>
            <w:r>
              <w:t>安装大温差全焊接板壳式换热器的数量</w:t>
            </w:r>
          </w:p>
        </w:tc>
        <w:tc>
          <w:tcPr>
            <w:tcW w:w="2268" w:type="dxa"/>
            <w:vAlign w:val="center"/>
          </w:tcPr>
          <w:p>
            <w:pPr>
              <w:pStyle w:val="13"/>
            </w:pPr>
            <w:r>
              <w:t>≥8座</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安装的换热站数量</w:t>
            </w:r>
          </w:p>
        </w:tc>
        <w:tc>
          <w:tcPr>
            <w:tcW w:w="5386" w:type="dxa"/>
            <w:vAlign w:val="center"/>
          </w:tcPr>
          <w:p>
            <w:pPr>
              <w:pStyle w:val="13"/>
            </w:pPr>
            <w:r>
              <w:t>安装高校换热器的数量</w:t>
            </w:r>
          </w:p>
        </w:tc>
        <w:tc>
          <w:tcPr>
            <w:tcW w:w="2268" w:type="dxa"/>
            <w:vAlign w:val="center"/>
          </w:tcPr>
          <w:p>
            <w:pPr>
              <w:pStyle w:val="13"/>
            </w:pPr>
            <w:r>
              <w:t>≥18座</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更新数量</w:t>
            </w:r>
          </w:p>
        </w:tc>
        <w:tc>
          <w:tcPr>
            <w:tcW w:w="5386" w:type="dxa"/>
            <w:vAlign w:val="center"/>
          </w:tcPr>
          <w:p>
            <w:pPr>
              <w:pStyle w:val="13"/>
            </w:pPr>
            <w:r>
              <w:t>变压器更新的数量</w:t>
            </w:r>
          </w:p>
        </w:tc>
        <w:tc>
          <w:tcPr>
            <w:tcW w:w="2268" w:type="dxa"/>
            <w:vAlign w:val="center"/>
          </w:tcPr>
          <w:p>
            <w:pPr>
              <w:pStyle w:val="13"/>
            </w:pPr>
            <w:r>
              <w:t>≥75台</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更新数量</w:t>
            </w:r>
          </w:p>
        </w:tc>
        <w:tc>
          <w:tcPr>
            <w:tcW w:w="5386" w:type="dxa"/>
            <w:vAlign w:val="center"/>
          </w:tcPr>
          <w:p>
            <w:pPr>
              <w:pStyle w:val="13"/>
            </w:pPr>
            <w:r>
              <w:t>电机更新数量</w:t>
            </w:r>
          </w:p>
        </w:tc>
        <w:tc>
          <w:tcPr>
            <w:tcW w:w="2268" w:type="dxa"/>
            <w:vAlign w:val="center"/>
          </w:tcPr>
          <w:p>
            <w:pPr>
              <w:pStyle w:val="13"/>
            </w:pPr>
            <w:r>
              <w:t>≥150台</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更新的换热站数量</w:t>
            </w:r>
          </w:p>
        </w:tc>
        <w:tc>
          <w:tcPr>
            <w:tcW w:w="5386" w:type="dxa"/>
            <w:vAlign w:val="center"/>
          </w:tcPr>
          <w:p>
            <w:pPr>
              <w:pStyle w:val="13"/>
            </w:pPr>
            <w:r>
              <w:t>换热站调控设备升级的数量</w:t>
            </w:r>
          </w:p>
        </w:tc>
        <w:tc>
          <w:tcPr>
            <w:tcW w:w="2268" w:type="dxa"/>
            <w:vAlign w:val="center"/>
          </w:tcPr>
          <w:p>
            <w:pPr>
              <w:pStyle w:val="13"/>
            </w:pPr>
            <w:r>
              <w:t>≥45座</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改造的换热站数量</w:t>
            </w:r>
          </w:p>
        </w:tc>
        <w:tc>
          <w:tcPr>
            <w:tcW w:w="5386" w:type="dxa"/>
            <w:vAlign w:val="center"/>
          </w:tcPr>
          <w:p>
            <w:pPr>
              <w:pStyle w:val="13"/>
            </w:pPr>
            <w:r>
              <w:t>庭院管网平衡改造的数量</w:t>
            </w:r>
          </w:p>
        </w:tc>
        <w:tc>
          <w:tcPr>
            <w:tcW w:w="2268" w:type="dxa"/>
            <w:vAlign w:val="center"/>
          </w:tcPr>
          <w:p>
            <w:pPr>
              <w:pStyle w:val="13"/>
            </w:pPr>
            <w:r>
              <w:t>≥60座</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升级数量</w:t>
            </w:r>
          </w:p>
        </w:tc>
        <w:tc>
          <w:tcPr>
            <w:tcW w:w="5386" w:type="dxa"/>
            <w:vAlign w:val="center"/>
          </w:tcPr>
          <w:p>
            <w:pPr>
              <w:pStyle w:val="13"/>
            </w:pPr>
            <w:r>
              <w:t>客户端温控系统升级的数量</w:t>
            </w:r>
          </w:p>
        </w:tc>
        <w:tc>
          <w:tcPr>
            <w:tcW w:w="2268" w:type="dxa"/>
            <w:vAlign w:val="center"/>
          </w:tcPr>
          <w:p>
            <w:pPr>
              <w:pStyle w:val="13"/>
            </w:pPr>
            <w:r>
              <w:t>≥679台</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反映换热器、变压器、电机等设备质量验收情况</w:t>
            </w:r>
          </w:p>
        </w:tc>
        <w:tc>
          <w:tcPr>
            <w:tcW w:w="2268" w:type="dxa"/>
            <w:vAlign w:val="center"/>
          </w:tcPr>
          <w:p>
            <w:pPr>
              <w:pStyle w:val="13"/>
            </w:pPr>
            <w:r>
              <w:t>100%</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工程完成及时性</w:t>
            </w:r>
          </w:p>
        </w:tc>
        <w:tc>
          <w:tcPr>
            <w:tcW w:w="5386" w:type="dxa"/>
            <w:vAlign w:val="center"/>
          </w:tcPr>
          <w:p>
            <w:pPr>
              <w:pStyle w:val="13"/>
            </w:pPr>
            <w:r>
              <w:t>按计划及时完成换热器、变压器、电机等安装改造，无延期</w:t>
            </w:r>
          </w:p>
        </w:tc>
        <w:tc>
          <w:tcPr>
            <w:tcW w:w="2268" w:type="dxa"/>
            <w:vAlign w:val="center"/>
          </w:tcPr>
          <w:p>
            <w:pPr>
              <w:pStyle w:val="13"/>
            </w:pPr>
            <w:r>
              <w:t>2025年12月底前完成</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反映换热器、变压器、电机等设备所需费用开支情况</w:t>
            </w:r>
          </w:p>
        </w:tc>
        <w:tc>
          <w:tcPr>
            <w:tcW w:w="2268" w:type="dxa"/>
            <w:vAlign w:val="center"/>
          </w:tcPr>
          <w:p>
            <w:pPr>
              <w:pStyle w:val="13"/>
            </w:pPr>
            <w:r>
              <w:t>≤1950万元</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系统综合能耗</w:t>
            </w:r>
          </w:p>
        </w:tc>
        <w:tc>
          <w:tcPr>
            <w:tcW w:w="5386" w:type="dxa"/>
            <w:vAlign w:val="center"/>
          </w:tcPr>
          <w:p>
            <w:pPr>
              <w:pStyle w:val="13"/>
            </w:pPr>
            <w:r>
              <w:t>综合能耗降低</w:t>
            </w:r>
          </w:p>
        </w:tc>
        <w:tc>
          <w:tcPr>
            <w:tcW w:w="2268" w:type="dxa"/>
            <w:vAlign w:val="center"/>
          </w:tcPr>
          <w:p>
            <w:pPr>
              <w:pStyle w:val="13"/>
            </w:pPr>
            <w:r>
              <w:t>≥0.91万吨/年</w:t>
            </w:r>
          </w:p>
        </w:tc>
        <w:tc>
          <w:tcPr>
            <w:tcW w:w="1276" w:type="dxa"/>
            <w:vAlign w:val="center"/>
          </w:tcPr>
          <w:p>
            <w:pPr>
              <w:pStyle w:val="13"/>
            </w:pPr>
            <w:r>
              <w:t>项目申请报告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新增供热能力</w:t>
            </w:r>
          </w:p>
        </w:tc>
        <w:tc>
          <w:tcPr>
            <w:tcW w:w="5386" w:type="dxa"/>
            <w:vAlign w:val="center"/>
          </w:tcPr>
          <w:p>
            <w:pPr>
              <w:pStyle w:val="13"/>
            </w:pPr>
            <w:r>
              <w:t>新增供热能力</w:t>
            </w:r>
          </w:p>
        </w:tc>
        <w:tc>
          <w:tcPr>
            <w:tcW w:w="2268" w:type="dxa"/>
            <w:vAlign w:val="center"/>
          </w:tcPr>
          <w:p>
            <w:pPr>
              <w:pStyle w:val="13"/>
            </w:pPr>
            <w:r>
              <w:t>≥36.4MW</w:t>
            </w:r>
          </w:p>
        </w:tc>
        <w:tc>
          <w:tcPr>
            <w:tcW w:w="1276" w:type="dxa"/>
            <w:vAlign w:val="center"/>
          </w:tcPr>
          <w:p>
            <w:pPr>
              <w:pStyle w:val="13"/>
            </w:pPr>
            <w:r>
              <w:t>项目申请报告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污染物排放</w:t>
            </w:r>
          </w:p>
        </w:tc>
        <w:tc>
          <w:tcPr>
            <w:tcW w:w="5386" w:type="dxa"/>
            <w:vAlign w:val="center"/>
          </w:tcPr>
          <w:p>
            <w:pPr>
              <w:pStyle w:val="13"/>
            </w:pPr>
            <w:r>
              <w:t>污染物排放降低</w:t>
            </w:r>
          </w:p>
        </w:tc>
        <w:tc>
          <w:tcPr>
            <w:tcW w:w="2268" w:type="dxa"/>
            <w:vAlign w:val="center"/>
          </w:tcPr>
          <w:p>
            <w:pPr>
              <w:pStyle w:val="13"/>
            </w:pPr>
            <w:r>
              <w:t>≥29015.85吨/年</w:t>
            </w:r>
          </w:p>
        </w:tc>
        <w:tc>
          <w:tcPr>
            <w:tcW w:w="1276" w:type="dxa"/>
            <w:vAlign w:val="center"/>
          </w:tcPr>
          <w:p>
            <w:pPr>
              <w:pStyle w:val="13"/>
            </w:pPr>
            <w:r>
              <w:t>项目申请报告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供热系统稳定运行</w:t>
            </w:r>
          </w:p>
        </w:tc>
        <w:tc>
          <w:tcPr>
            <w:tcW w:w="5386" w:type="dxa"/>
            <w:vAlign w:val="center"/>
          </w:tcPr>
          <w:p>
            <w:pPr>
              <w:pStyle w:val="13"/>
            </w:pPr>
            <w:r>
              <w:t>供热系统使用持续年限</w:t>
            </w:r>
          </w:p>
        </w:tc>
        <w:tc>
          <w:tcPr>
            <w:tcW w:w="2268" w:type="dxa"/>
            <w:vAlign w:val="center"/>
          </w:tcPr>
          <w:p>
            <w:pPr>
              <w:pStyle w:val="13"/>
            </w:pPr>
            <w:r>
              <w:t>≥5年</w:t>
            </w:r>
          </w:p>
        </w:tc>
        <w:tc>
          <w:tcPr>
            <w:tcW w:w="1276" w:type="dxa"/>
            <w:vAlign w:val="center"/>
          </w:tcPr>
          <w:p>
            <w:pPr>
              <w:pStyle w:val="13"/>
            </w:pPr>
            <w:r>
              <w:t>项目申请报告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受益企业满意度</w:t>
            </w:r>
          </w:p>
        </w:tc>
        <w:tc>
          <w:tcPr>
            <w:tcW w:w="5386" w:type="dxa"/>
            <w:vAlign w:val="center"/>
          </w:tcPr>
          <w:p>
            <w:pPr>
              <w:pStyle w:val="13"/>
            </w:pPr>
            <w:r>
              <w:t>受益企业对供热系统节能降碳技术改造认可程度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26、承德市城市管理综合行政执法局办公楼外墙做保温、外墙真实漆工程绩效目标表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13080024P00003510008K</w:t>
            </w:r>
          </w:p>
        </w:tc>
        <w:tc>
          <w:tcPr>
            <w:tcW w:w="2835" w:type="dxa"/>
            <w:vAlign w:val="center"/>
          </w:tcPr>
          <w:p>
            <w:pPr>
              <w:pStyle w:val="11"/>
            </w:pPr>
            <w:r>
              <w:t>项目名称</w:t>
            </w:r>
          </w:p>
        </w:tc>
        <w:tc>
          <w:tcPr>
            <w:tcW w:w="6095" w:type="dxa"/>
            <w:gridSpan w:val="3"/>
            <w:vAlign w:val="center"/>
          </w:tcPr>
          <w:p>
            <w:pPr>
              <w:pStyle w:val="13"/>
            </w:pPr>
            <w:r>
              <w:t>承德市城市管理综合行政执法局办公楼外墙做保温、外墙真实漆工程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用于支付市城管局办公楼外墙维修费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95%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1.用于支付市城管局机关办公楼外墙维修费用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外墙保温面积数量</w:t>
            </w:r>
          </w:p>
        </w:tc>
        <w:tc>
          <w:tcPr>
            <w:tcW w:w="5386" w:type="dxa"/>
            <w:vAlign w:val="center"/>
          </w:tcPr>
          <w:p>
            <w:pPr>
              <w:pStyle w:val="13"/>
            </w:pPr>
            <w:r>
              <w:t>外墙保温面积数量</w:t>
            </w:r>
          </w:p>
        </w:tc>
        <w:tc>
          <w:tcPr>
            <w:tcW w:w="2268" w:type="dxa"/>
            <w:vAlign w:val="center"/>
          </w:tcPr>
          <w:p>
            <w:pPr>
              <w:pStyle w:val="13"/>
            </w:pPr>
            <w:r>
              <w:t>2176.4平方米</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外墙真实漆面积数量</w:t>
            </w:r>
          </w:p>
        </w:tc>
        <w:tc>
          <w:tcPr>
            <w:tcW w:w="5386" w:type="dxa"/>
            <w:vAlign w:val="center"/>
          </w:tcPr>
          <w:p>
            <w:pPr>
              <w:pStyle w:val="13"/>
            </w:pPr>
            <w:r>
              <w:t>外墙真实漆面积数量</w:t>
            </w:r>
          </w:p>
        </w:tc>
        <w:tc>
          <w:tcPr>
            <w:tcW w:w="2268" w:type="dxa"/>
            <w:vAlign w:val="center"/>
          </w:tcPr>
          <w:p>
            <w:pPr>
              <w:pStyle w:val="13"/>
            </w:pPr>
            <w:r>
              <w:t>2292.24平方米</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项目工程验收合格率</w:t>
            </w:r>
          </w:p>
        </w:tc>
        <w:tc>
          <w:tcPr>
            <w:tcW w:w="2268" w:type="dxa"/>
            <w:vAlign w:val="center"/>
          </w:tcPr>
          <w:p>
            <w:pPr>
              <w:pStyle w:val="13"/>
            </w:pPr>
            <w:r>
              <w:t>100%</w:t>
            </w:r>
          </w:p>
        </w:tc>
        <w:tc>
          <w:tcPr>
            <w:tcW w:w="1276" w:type="dxa"/>
            <w:vAlign w:val="center"/>
          </w:tcPr>
          <w:p>
            <w:pPr>
              <w:pStyle w:val="13"/>
            </w:pPr>
            <w:r>
              <w:t>工程完工后实际效果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维修时间</w:t>
            </w:r>
          </w:p>
        </w:tc>
        <w:tc>
          <w:tcPr>
            <w:tcW w:w="5386" w:type="dxa"/>
            <w:vAlign w:val="center"/>
          </w:tcPr>
          <w:p>
            <w:pPr>
              <w:pStyle w:val="13"/>
            </w:pPr>
            <w:r>
              <w:t>维修办公室的时间</w:t>
            </w:r>
          </w:p>
        </w:tc>
        <w:tc>
          <w:tcPr>
            <w:tcW w:w="2268" w:type="dxa"/>
            <w:vAlign w:val="center"/>
          </w:tcPr>
          <w:p>
            <w:pPr>
              <w:pStyle w:val="13"/>
            </w:pPr>
            <w:r>
              <w:t>2024年底前完成</w:t>
            </w:r>
          </w:p>
        </w:tc>
        <w:tc>
          <w:tcPr>
            <w:tcW w:w="1276" w:type="dxa"/>
            <w:vAlign w:val="center"/>
          </w:tcPr>
          <w:p>
            <w:pPr>
              <w:pStyle w:val="13"/>
            </w:pPr>
            <w:r>
              <w:t>工程验收时间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维修金额</w:t>
            </w:r>
          </w:p>
        </w:tc>
        <w:tc>
          <w:tcPr>
            <w:tcW w:w="5386" w:type="dxa"/>
            <w:vAlign w:val="center"/>
          </w:tcPr>
          <w:p>
            <w:pPr>
              <w:pStyle w:val="13"/>
            </w:pPr>
            <w:r>
              <w:t>维修办公室所需的资金</w:t>
            </w:r>
          </w:p>
        </w:tc>
        <w:tc>
          <w:tcPr>
            <w:tcW w:w="2268" w:type="dxa"/>
            <w:vAlign w:val="center"/>
          </w:tcPr>
          <w:p>
            <w:pPr>
              <w:pStyle w:val="13"/>
            </w:pPr>
            <w:r>
              <w:t>≤30万元</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优化员工工作环境</w:t>
            </w:r>
          </w:p>
        </w:tc>
        <w:tc>
          <w:tcPr>
            <w:tcW w:w="5386" w:type="dxa"/>
            <w:vAlign w:val="center"/>
          </w:tcPr>
          <w:p>
            <w:pPr>
              <w:pStyle w:val="13"/>
            </w:pPr>
            <w:r>
              <w:t>为员工的环境温度提供保障</w:t>
            </w:r>
          </w:p>
        </w:tc>
        <w:tc>
          <w:tcPr>
            <w:tcW w:w="2268" w:type="dxa"/>
            <w:vAlign w:val="center"/>
          </w:tcPr>
          <w:p>
            <w:pPr>
              <w:pStyle w:val="13"/>
            </w:pPr>
            <w:r>
              <w:t>巩固提升</w:t>
            </w:r>
          </w:p>
        </w:tc>
        <w:tc>
          <w:tcPr>
            <w:tcW w:w="1276" w:type="dxa"/>
            <w:vAlign w:val="center"/>
          </w:tcPr>
          <w:p>
            <w:pPr>
              <w:pStyle w:val="13"/>
            </w:pPr>
            <w:r>
              <w:t>实际工程完工后效果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单位工作人员的满意度</w:t>
            </w:r>
          </w:p>
        </w:tc>
        <w:tc>
          <w:tcPr>
            <w:tcW w:w="5386" w:type="dxa"/>
            <w:vAlign w:val="center"/>
          </w:tcPr>
          <w:p>
            <w:pPr>
              <w:pStyle w:val="13"/>
            </w:pPr>
            <w:r>
              <w:t>单位工作人员对办公楼维修后的满意度</w:t>
            </w:r>
          </w:p>
        </w:tc>
        <w:tc>
          <w:tcPr>
            <w:tcW w:w="2268" w:type="dxa"/>
            <w:vAlign w:val="center"/>
          </w:tcPr>
          <w:p>
            <w:pPr>
              <w:pStyle w:val="13"/>
            </w:pPr>
            <w:r>
              <w:t>≥95%</w:t>
            </w:r>
          </w:p>
        </w:tc>
        <w:tc>
          <w:tcPr>
            <w:tcW w:w="1276" w:type="dxa"/>
            <w:vAlign w:val="center"/>
          </w:tcPr>
          <w:p>
            <w:pPr>
              <w:pStyle w:val="13"/>
            </w:pPr>
            <w:r>
              <w:t>实际调查结果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27、承德市城市绿地系统规划修编和承德市中心城区公园体系规划、承德市中心城区生物多样性保护园林绿化专项规划编制绩效目标表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13080024P000030100087</w:t>
            </w:r>
          </w:p>
        </w:tc>
        <w:tc>
          <w:tcPr>
            <w:tcW w:w="2835" w:type="dxa"/>
            <w:vAlign w:val="center"/>
          </w:tcPr>
          <w:p>
            <w:pPr>
              <w:pStyle w:val="11"/>
            </w:pPr>
            <w:r>
              <w:t>项目名称</w:t>
            </w:r>
          </w:p>
        </w:tc>
        <w:tc>
          <w:tcPr>
            <w:tcW w:w="6095" w:type="dxa"/>
            <w:gridSpan w:val="3"/>
            <w:vAlign w:val="center"/>
          </w:tcPr>
          <w:p>
            <w:pPr>
              <w:pStyle w:val="13"/>
            </w:pPr>
            <w:r>
              <w:t>承德市城市绿地系统规划修编和承德市中心城区公园体系规划、承德市中心城区生物多样性保护园林绿化专项规划编制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用于支付城市绿地规划和城区公园体系规划项目资金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95%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1.在2025年度，花费50万元资金。完成绿地系统规划、生物多样性保护规划、公园体系规划编制，保障生态环境工作的正常进行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规划数量</w:t>
            </w:r>
          </w:p>
        </w:tc>
        <w:tc>
          <w:tcPr>
            <w:tcW w:w="5386" w:type="dxa"/>
            <w:vAlign w:val="center"/>
          </w:tcPr>
          <w:p>
            <w:pPr>
              <w:pStyle w:val="13"/>
            </w:pPr>
            <w:r>
              <w:t>本次编制专项规划的总数量</w:t>
            </w:r>
          </w:p>
        </w:tc>
        <w:tc>
          <w:tcPr>
            <w:tcW w:w="2268" w:type="dxa"/>
            <w:vAlign w:val="center"/>
          </w:tcPr>
          <w:p>
            <w:pPr>
              <w:pStyle w:val="13"/>
            </w:pPr>
            <w:r>
              <w:t>3部</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规划编制成本</w:t>
            </w:r>
          </w:p>
        </w:tc>
        <w:tc>
          <w:tcPr>
            <w:tcW w:w="2268" w:type="dxa"/>
            <w:vAlign w:val="center"/>
          </w:tcPr>
          <w:p>
            <w:pPr>
              <w:pStyle w:val="13"/>
            </w:pPr>
            <w:r>
              <w:t>≤50万元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评审通过率</w:t>
            </w:r>
          </w:p>
        </w:tc>
        <w:tc>
          <w:tcPr>
            <w:tcW w:w="5386" w:type="dxa"/>
            <w:vAlign w:val="center"/>
          </w:tcPr>
          <w:p>
            <w:pPr>
              <w:pStyle w:val="13"/>
            </w:pPr>
            <w:r>
              <w:t>相关成果评审通过率</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反映完成三部规划的时限</w:t>
            </w:r>
          </w:p>
        </w:tc>
        <w:tc>
          <w:tcPr>
            <w:tcW w:w="2268" w:type="dxa"/>
            <w:vAlign w:val="center"/>
          </w:tcPr>
          <w:p>
            <w:pPr>
              <w:pStyle w:val="13"/>
            </w:pPr>
            <w:r>
              <w:t>2025年12月底前完成</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绿地建设品质</w:t>
            </w:r>
          </w:p>
        </w:tc>
        <w:tc>
          <w:tcPr>
            <w:tcW w:w="5386" w:type="dxa"/>
            <w:vAlign w:val="center"/>
          </w:tcPr>
          <w:p>
            <w:pPr>
              <w:pStyle w:val="13"/>
            </w:pPr>
            <w:r>
              <w:t>绿地建设品质提升率</w:t>
            </w:r>
          </w:p>
        </w:tc>
        <w:tc>
          <w:tcPr>
            <w:tcW w:w="2268" w:type="dxa"/>
            <w:vAlign w:val="center"/>
          </w:tcPr>
          <w:p>
            <w:pPr>
              <w:pStyle w:val="13"/>
            </w:pPr>
            <w:r>
              <w:t>≥60%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城市韧性</w:t>
            </w:r>
          </w:p>
        </w:tc>
        <w:tc>
          <w:tcPr>
            <w:tcW w:w="5386" w:type="dxa"/>
            <w:vAlign w:val="center"/>
          </w:tcPr>
          <w:p>
            <w:pPr>
              <w:pStyle w:val="13"/>
            </w:pPr>
            <w:r>
              <w:t>城市韧性提升率</w:t>
            </w:r>
          </w:p>
        </w:tc>
        <w:tc>
          <w:tcPr>
            <w:tcW w:w="2268" w:type="dxa"/>
            <w:vAlign w:val="center"/>
          </w:tcPr>
          <w:p>
            <w:pPr>
              <w:pStyle w:val="13"/>
            </w:pPr>
            <w:r>
              <w:t>≥50%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社会群众满意度</w:t>
            </w:r>
          </w:p>
        </w:tc>
        <w:tc>
          <w:tcPr>
            <w:tcW w:w="5386" w:type="dxa"/>
            <w:vAlign w:val="center"/>
          </w:tcPr>
          <w:p>
            <w:pPr>
              <w:pStyle w:val="13"/>
            </w:pPr>
            <w:r>
              <w:t>社会群众对规划后绿地的满意度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28、承德市城市运行管理服务平台建设项目绩效目标表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13080024P00021010001Y</w:t>
            </w:r>
          </w:p>
        </w:tc>
        <w:tc>
          <w:tcPr>
            <w:tcW w:w="2835" w:type="dxa"/>
            <w:vAlign w:val="center"/>
          </w:tcPr>
          <w:p>
            <w:pPr>
              <w:pStyle w:val="11"/>
            </w:pPr>
            <w:r>
              <w:t>项目名称</w:t>
            </w:r>
          </w:p>
        </w:tc>
        <w:tc>
          <w:tcPr>
            <w:tcW w:w="6095" w:type="dxa"/>
            <w:gridSpan w:val="3"/>
            <w:vAlign w:val="center"/>
          </w:tcPr>
          <w:p>
            <w:pPr>
              <w:pStyle w:val="13"/>
            </w:pPr>
            <w:r>
              <w:t>承德市城市运行管理服务平台建设项目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用于支付城市运行管理服务平台建设项目资金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度，支付资金200万元，通过建设城市运行管理服务平台，以城市运行管理“一网统管”为目标，加强对城市运行管理服务状况的实时检测、动态分析、统筹协调、指挥监督和综合评价，不断提高人民群众的获得感、幸福感、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城市运行管理服务平台建设项目经费</w:t>
            </w:r>
          </w:p>
        </w:tc>
        <w:tc>
          <w:tcPr>
            <w:tcW w:w="2268" w:type="dxa"/>
            <w:vAlign w:val="center"/>
          </w:tcPr>
          <w:p>
            <w:pPr>
              <w:pStyle w:val="13"/>
            </w:pPr>
            <w:r>
              <w:t>≤200万元</w:t>
            </w:r>
          </w:p>
        </w:tc>
        <w:tc>
          <w:tcPr>
            <w:tcW w:w="1276" w:type="dxa"/>
            <w:vAlign w:val="center"/>
          </w:tcPr>
          <w:p>
            <w:pPr>
              <w:pStyle w:val="13"/>
            </w:pPr>
            <w:r>
              <w:t>招标价格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软件开发数量</w:t>
            </w:r>
          </w:p>
        </w:tc>
        <w:tc>
          <w:tcPr>
            <w:tcW w:w="5386" w:type="dxa"/>
            <w:vAlign w:val="center"/>
          </w:tcPr>
          <w:p>
            <w:pPr>
              <w:pStyle w:val="13"/>
            </w:pPr>
            <w:r>
              <w:t>完成软件开发的数量</w:t>
            </w:r>
          </w:p>
        </w:tc>
        <w:tc>
          <w:tcPr>
            <w:tcW w:w="2268" w:type="dxa"/>
            <w:vAlign w:val="center"/>
          </w:tcPr>
          <w:p>
            <w:pPr>
              <w:pStyle w:val="13"/>
            </w:pPr>
            <w:r>
              <w:t>1套</w:t>
            </w:r>
          </w:p>
        </w:tc>
        <w:tc>
          <w:tcPr>
            <w:tcW w:w="1276" w:type="dxa"/>
            <w:vAlign w:val="center"/>
          </w:tcPr>
          <w:p>
            <w:pPr>
              <w:pStyle w:val="13"/>
            </w:pPr>
            <w:r>
              <w:t>实施方案或合同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系统验收合格率</w:t>
            </w:r>
          </w:p>
        </w:tc>
        <w:tc>
          <w:tcPr>
            <w:tcW w:w="5386" w:type="dxa"/>
            <w:vAlign w:val="center"/>
          </w:tcPr>
          <w:p>
            <w:pPr>
              <w:pStyle w:val="13"/>
            </w:pPr>
            <w:r>
              <w:t>反映该平台构筑系统的正常运行合格率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及时完成平台建设</w:t>
            </w:r>
          </w:p>
        </w:tc>
        <w:tc>
          <w:tcPr>
            <w:tcW w:w="5386" w:type="dxa"/>
            <w:vAlign w:val="center"/>
          </w:tcPr>
          <w:p>
            <w:pPr>
              <w:pStyle w:val="13"/>
            </w:pPr>
            <w:r>
              <w:t>按计划及时完成城市运行管理服务平台建设</w:t>
            </w:r>
          </w:p>
        </w:tc>
        <w:tc>
          <w:tcPr>
            <w:tcW w:w="2268" w:type="dxa"/>
            <w:vAlign w:val="center"/>
          </w:tcPr>
          <w:p>
            <w:pPr>
              <w:pStyle w:val="13"/>
            </w:pPr>
            <w:r>
              <w:t>2025年12月底前</w:t>
            </w:r>
          </w:p>
        </w:tc>
        <w:tc>
          <w:tcPr>
            <w:tcW w:w="1276" w:type="dxa"/>
            <w:vAlign w:val="center"/>
          </w:tcPr>
          <w:p>
            <w:pPr>
              <w:pStyle w:val="13"/>
            </w:pPr>
            <w:r>
              <w:t>项目实际完成时间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提高工作效率</w:t>
            </w:r>
          </w:p>
        </w:tc>
        <w:tc>
          <w:tcPr>
            <w:tcW w:w="5386" w:type="dxa"/>
            <w:vAlign w:val="center"/>
          </w:tcPr>
          <w:p>
            <w:pPr>
              <w:pStyle w:val="13"/>
            </w:pPr>
            <w:r>
              <w:t>相比上年同期工作效率提升率</w:t>
            </w:r>
          </w:p>
        </w:tc>
        <w:tc>
          <w:tcPr>
            <w:tcW w:w="2268" w:type="dxa"/>
            <w:vAlign w:val="center"/>
          </w:tcPr>
          <w:p>
            <w:pPr>
              <w:pStyle w:val="13"/>
            </w:pPr>
            <w:r>
              <w:t>≥50%</w:t>
            </w:r>
          </w:p>
        </w:tc>
        <w:tc>
          <w:tcPr>
            <w:tcW w:w="1276" w:type="dxa"/>
            <w:vAlign w:val="center"/>
          </w:tcPr>
          <w:p>
            <w:pPr>
              <w:pStyle w:val="13"/>
            </w:pPr>
            <w:r>
              <w:t>实际工作效率提升情况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系统使用年限</w:t>
            </w:r>
          </w:p>
        </w:tc>
        <w:tc>
          <w:tcPr>
            <w:tcW w:w="5386" w:type="dxa"/>
            <w:vAlign w:val="center"/>
          </w:tcPr>
          <w:p>
            <w:pPr>
              <w:pStyle w:val="13"/>
            </w:pPr>
            <w:r>
              <w:t>系统正常使用年限时间</w:t>
            </w:r>
          </w:p>
        </w:tc>
        <w:tc>
          <w:tcPr>
            <w:tcW w:w="2268" w:type="dxa"/>
            <w:vAlign w:val="center"/>
          </w:tcPr>
          <w:p>
            <w:pPr>
              <w:pStyle w:val="13"/>
            </w:pPr>
            <w:r>
              <w:t>≥3年</w:t>
            </w:r>
          </w:p>
        </w:tc>
        <w:tc>
          <w:tcPr>
            <w:tcW w:w="1276" w:type="dxa"/>
            <w:vAlign w:val="center"/>
          </w:tcPr>
          <w:p>
            <w:pPr>
              <w:pStyle w:val="13"/>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信息系统使用人员满意度</w:t>
            </w:r>
          </w:p>
        </w:tc>
        <w:tc>
          <w:tcPr>
            <w:tcW w:w="5386" w:type="dxa"/>
            <w:vAlign w:val="center"/>
          </w:tcPr>
          <w:p>
            <w:pPr>
              <w:pStyle w:val="13"/>
            </w:pPr>
            <w:r>
              <w:t>调查中反馈满意和较满意的人员数量占调查人员总数的比率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29、承德市双桥区、高新区大型户外广告安全隐患排查检测绩效目标表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13080025P000034100065</w:t>
            </w:r>
          </w:p>
        </w:tc>
        <w:tc>
          <w:tcPr>
            <w:tcW w:w="2835" w:type="dxa"/>
            <w:vAlign w:val="center"/>
          </w:tcPr>
          <w:p>
            <w:pPr>
              <w:pStyle w:val="11"/>
            </w:pPr>
            <w:r>
              <w:t>项目名称</w:t>
            </w:r>
          </w:p>
        </w:tc>
        <w:tc>
          <w:tcPr>
            <w:tcW w:w="6095" w:type="dxa"/>
            <w:gridSpan w:val="3"/>
            <w:vAlign w:val="center"/>
          </w:tcPr>
          <w:p>
            <w:pPr>
              <w:pStyle w:val="13"/>
            </w:pPr>
            <w:r>
              <w:t>承德市双桥区、高新区大型户外广告安全隐患排查检测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用于支付承德市双桥区、高新区大型户外广告安全隐患排查检测费用</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1.2025年年度内，预计支付10万元，对双桥区、高新区大型户外广告牌匾进行安全隐患排查检测，确保及时发现安全隐患及时整改。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抽测建筑主体数量</w:t>
            </w:r>
          </w:p>
        </w:tc>
        <w:tc>
          <w:tcPr>
            <w:tcW w:w="5386" w:type="dxa"/>
            <w:vAlign w:val="center"/>
          </w:tcPr>
          <w:p>
            <w:pPr>
              <w:pStyle w:val="13"/>
            </w:pPr>
            <w:r>
              <w:t>抽测年久失修、体量较大、容易引发安全事故的大型户外广告</w:t>
            </w:r>
          </w:p>
        </w:tc>
        <w:tc>
          <w:tcPr>
            <w:tcW w:w="2268" w:type="dxa"/>
            <w:vAlign w:val="center"/>
          </w:tcPr>
          <w:p>
            <w:pPr>
              <w:pStyle w:val="13"/>
            </w:pPr>
            <w:r>
              <w:t>30个</w:t>
            </w:r>
          </w:p>
        </w:tc>
        <w:tc>
          <w:tcPr>
            <w:tcW w:w="1276" w:type="dxa"/>
            <w:vAlign w:val="center"/>
          </w:tcPr>
          <w:p>
            <w:pPr>
              <w:pStyle w:val="13"/>
            </w:pPr>
            <w:r>
              <w:t>《河北省城市市容和环境卫生条例》第十八条、《承德市城市市容和环境卫生管理条例》第十七条、《城市户外广告和招牌设施技术标准》（CJJ/T149-2021）第10.1.2和10.3条规定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抽测建筑主体质量</w:t>
            </w:r>
          </w:p>
        </w:tc>
        <w:tc>
          <w:tcPr>
            <w:tcW w:w="5386" w:type="dxa"/>
            <w:vAlign w:val="center"/>
          </w:tcPr>
          <w:p>
            <w:pPr>
              <w:pStyle w:val="13"/>
            </w:pPr>
            <w:r>
              <w:t>反映大型户外广告建筑主体是否年久失修、锈蚀、松动、容易引发安全事故的成功检测率</w:t>
            </w:r>
          </w:p>
        </w:tc>
        <w:tc>
          <w:tcPr>
            <w:tcW w:w="2268" w:type="dxa"/>
            <w:vAlign w:val="center"/>
          </w:tcPr>
          <w:p>
            <w:pPr>
              <w:pStyle w:val="13"/>
            </w:pPr>
            <w:r>
              <w:t>100%</w:t>
            </w:r>
          </w:p>
        </w:tc>
        <w:tc>
          <w:tcPr>
            <w:tcW w:w="1276" w:type="dxa"/>
            <w:vAlign w:val="center"/>
          </w:tcPr>
          <w:p>
            <w:pPr>
              <w:pStyle w:val="13"/>
            </w:pPr>
            <w:r>
              <w:t>《河北省城市市容和环境卫生条例》第十八条、《承德市城市市容和环境卫生管理条例》第十七条、《城市户外广告和招牌设施技术标准》（CJJ/T149-2021）第10.1.2和10.3条规定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抽测建筑主体广告开展时间</w:t>
            </w:r>
          </w:p>
        </w:tc>
        <w:tc>
          <w:tcPr>
            <w:tcW w:w="5386" w:type="dxa"/>
            <w:vAlign w:val="center"/>
          </w:tcPr>
          <w:p>
            <w:pPr>
              <w:pStyle w:val="13"/>
            </w:pPr>
            <w:r>
              <w:t>反映对建筑主体广告进行抽测的及时性</w:t>
            </w:r>
          </w:p>
        </w:tc>
        <w:tc>
          <w:tcPr>
            <w:tcW w:w="2268" w:type="dxa"/>
            <w:vAlign w:val="center"/>
          </w:tcPr>
          <w:p>
            <w:pPr>
              <w:pStyle w:val="13"/>
            </w:pPr>
            <w:r>
              <w:t>2025年12月底前完成</w:t>
            </w:r>
          </w:p>
        </w:tc>
        <w:tc>
          <w:tcPr>
            <w:tcW w:w="1276" w:type="dxa"/>
            <w:vAlign w:val="center"/>
          </w:tcPr>
          <w:p>
            <w:pPr>
              <w:pStyle w:val="13"/>
            </w:pPr>
            <w:r>
              <w:t>《河北省城市市容和环境卫生条例》第十八条、《承德市城市市容和环境卫生管理条例》第十七条、《城市户外广告和招牌设施技术标准》（CJJ/T149-2021）第10.1.2和10.3条规定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抽测建筑主体广告所需费用</w:t>
            </w:r>
          </w:p>
        </w:tc>
        <w:tc>
          <w:tcPr>
            <w:tcW w:w="5386" w:type="dxa"/>
            <w:vAlign w:val="center"/>
          </w:tcPr>
          <w:p>
            <w:pPr>
              <w:pStyle w:val="13"/>
            </w:pPr>
            <w:r>
              <w:t>抽测建筑主体广告所需要的费用</w:t>
            </w:r>
          </w:p>
        </w:tc>
        <w:tc>
          <w:tcPr>
            <w:tcW w:w="2268" w:type="dxa"/>
            <w:vAlign w:val="center"/>
          </w:tcPr>
          <w:p>
            <w:pPr>
              <w:pStyle w:val="13"/>
            </w:pPr>
            <w:r>
              <w:t>10万元</w:t>
            </w:r>
          </w:p>
        </w:tc>
        <w:tc>
          <w:tcPr>
            <w:tcW w:w="1276" w:type="dxa"/>
            <w:vAlign w:val="center"/>
          </w:tcPr>
          <w:p>
            <w:pPr>
              <w:pStyle w:val="13"/>
            </w:pPr>
            <w:r>
              <w:t>《河北省城市市容和环境卫生条例》第十八条、《承德市城市市容和环境卫生管理条例》第十七条、《城市户外广告和招牌设施技术标准》（CJJ/T149-2021）第10.1.2和10.3条规定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落实项目问题整改率</w:t>
            </w:r>
          </w:p>
        </w:tc>
        <w:tc>
          <w:tcPr>
            <w:tcW w:w="5386" w:type="dxa"/>
            <w:vAlign w:val="center"/>
          </w:tcPr>
          <w:p>
            <w:pPr>
              <w:pStyle w:val="13"/>
            </w:pPr>
            <w:r>
              <w:t>针对第三方机构出具报告中存在的问</w:t>
            </w:r>
          </w:p>
          <w:p>
            <w:pPr>
              <w:pStyle w:val="13"/>
            </w:pPr>
            <w:r>
              <w:t>题，落实项目存在问题整改情况</w:t>
            </w:r>
          </w:p>
        </w:tc>
        <w:tc>
          <w:tcPr>
            <w:tcW w:w="2268" w:type="dxa"/>
            <w:vAlign w:val="center"/>
          </w:tcPr>
          <w:p>
            <w:pPr>
              <w:pStyle w:val="13"/>
            </w:pPr>
            <w:r>
              <w:t>100%</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提供长期稳定服务</w:t>
            </w:r>
          </w:p>
        </w:tc>
        <w:tc>
          <w:tcPr>
            <w:tcW w:w="5386" w:type="dxa"/>
            <w:vAlign w:val="center"/>
          </w:tcPr>
          <w:p>
            <w:pPr>
              <w:pStyle w:val="13"/>
            </w:pPr>
            <w:r>
              <w:t>第三方机构实施项目能够长期稳定保障大型户外广告建筑主体安全隐患排查检测顺利进行，保障户外广告管理工作正常运转</w:t>
            </w:r>
          </w:p>
        </w:tc>
        <w:tc>
          <w:tcPr>
            <w:tcW w:w="2268" w:type="dxa"/>
            <w:vAlign w:val="center"/>
          </w:tcPr>
          <w:p>
            <w:pPr>
              <w:pStyle w:val="13"/>
            </w:pPr>
            <w:r>
              <w:t>≥2年</w:t>
            </w:r>
          </w:p>
        </w:tc>
        <w:tc>
          <w:tcPr>
            <w:tcW w:w="1276" w:type="dxa"/>
            <w:vAlign w:val="center"/>
          </w:tcPr>
          <w:p>
            <w:pPr>
              <w:pStyle w:val="13"/>
            </w:pPr>
            <w:r>
              <w:t>合同约定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社会公众满意度情况</w:t>
            </w:r>
          </w:p>
        </w:tc>
        <w:tc>
          <w:tcPr>
            <w:tcW w:w="5386" w:type="dxa"/>
            <w:vAlign w:val="center"/>
          </w:tcPr>
          <w:p>
            <w:pPr>
              <w:pStyle w:val="13"/>
            </w:pPr>
            <w:r>
              <w:t>反映社会公众对户外广告管理工作的满意度</w:t>
            </w:r>
          </w:p>
        </w:tc>
        <w:tc>
          <w:tcPr>
            <w:tcW w:w="2268" w:type="dxa"/>
            <w:vAlign w:val="center"/>
          </w:tcPr>
          <w:p>
            <w:pPr>
              <w:pStyle w:val="13"/>
            </w:pPr>
            <w:r>
              <w:t>≥93%</w:t>
            </w:r>
          </w:p>
        </w:tc>
        <w:tc>
          <w:tcPr>
            <w:tcW w:w="1276" w:type="dxa"/>
            <w:vAlign w:val="center"/>
          </w:tcPr>
          <w:p>
            <w:pPr>
              <w:pStyle w:val="13"/>
            </w:pPr>
            <w:r>
              <w:t>问卷调查</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30、承德市运行管理服务平台（2023年调整）绩效目标表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13080023P000168100045</w:t>
            </w:r>
          </w:p>
        </w:tc>
        <w:tc>
          <w:tcPr>
            <w:tcW w:w="2835" w:type="dxa"/>
            <w:vAlign w:val="center"/>
          </w:tcPr>
          <w:p>
            <w:pPr>
              <w:pStyle w:val="11"/>
            </w:pPr>
            <w:r>
              <w:t>项目名称</w:t>
            </w:r>
          </w:p>
        </w:tc>
        <w:tc>
          <w:tcPr>
            <w:tcW w:w="6095" w:type="dxa"/>
            <w:gridSpan w:val="3"/>
            <w:vAlign w:val="center"/>
          </w:tcPr>
          <w:p>
            <w:pPr>
              <w:pStyle w:val="13"/>
            </w:pPr>
            <w:r>
              <w:t>承德市运行管理服务平台（2023年调整）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用于支付运行服务管理平台工程款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1.在2025年度，花费资金200万元，完成运行管理服务平台，保障数字化城管工作高效保质保量进行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项目实施所需资金数额</w:t>
            </w:r>
          </w:p>
        </w:tc>
        <w:tc>
          <w:tcPr>
            <w:tcW w:w="2268" w:type="dxa"/>
            <w:vAlign w:val="center"/>
          </w:tcPr>
          <w:p>
            <w:pPr>
              <w:pStyle w:val="13"/>
            </w:pPr>
            <w:r>
              <w:t>≤200万元</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软件开发数量</w:t>
            </w:r>
          </w:p>
        </w:tc>
        <w:tc>
          <w:tcPr>
            <w:tcW w:w="5386" w:type="dxa"/>
            <w:vAlign w:val="center"/>
          </w:tcPr>
          <w:p>
            <w:pPr>
              <w:pStyle w:val="13"/>
            </w:pPr>
            <w:r>
              <w:t>反映软件开发数量完成情况</w:t>
            </w:r>
          </w:p>
        </w:tc>
        <w:tc>
          <w:tcPr>
            <w:tcW w:w="2268" w:type="dxa"/>
            <w:vAlign w:val="center"/>
          </w:tcPr>
          <w:p>
            <w:pPr>
              <w:pStyle w:val="13"/>
            </w:pPr>
            <w:r>
              <w:t>1个</w:t>
            </w:r>
          </w:p>
        </w:tc>
        <w:tc>
          <w:tcPr>
            <w:tcW w:w="1276" w:type="dxa"/>
            <w:vAlign w:val="center"/>
          </w:tcPr>
          <w:p>
            <w:pPr>
              <w:pStyle w:val="13"/>
            </w:pPr>
            <w:r>
              <w:t>实施方案或合同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需求满足率</w:t>
            </w:r>
          </w:p>
        </w:tc>
        <w:tc>
          <w:tcPr>
            <w:tcW w:w="5386" w:type="dxa"/>
            <w:vAlign w:val="center"/>
          </w:tcPr>
          <w:p>
            <w:pPr>
              <w:pStyle w:val="13"/>
            </w:pPr>
            <w:r>
              <w:t>反映项目实施满足实际需求情况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系统故障修复处理时间</w:t>
            </w:r>
          </w:p>
        </w:tc>
        <w:tc>
          <w:tcPr>
            <w:tcW w:w="5386" w:type="dxa"/>
            <w:vAlign w:val="center"/>
          </w:tcPr>
          <w:p>
            <w:pPr>
              <w:pStyle w:val="13"/>
            </w:pPr>
            <w:r>
              <w:t>系统故障修复平均处理时间</w:t>
            </w:r>
          </w:p>
        </w:tc>
        <w:tc>
          <w:tcPr>
            <w:tcW w:w="2268" w:type="dxa"/>
            <w:vAlign w:val="center"/>
          </w:tcPr>
          <w:p>
            <w:pPr>
              <w:pStyle w:val="13"/>
            </w:pPr>
            <w:r>
              <w:t>≤1小时</w:t>
            </w:r>
          </w:p>
        </w:tc>
        <w:tc>
          <w:tcPr>
            <w:tcW w:w="1276" w:type="dxa"/>
            <w:vAlign w:val="center"/>
          </w:tcPr>
          <w:p>
            <w:pPr>
              <w:pStyle w:val="13"/>
            </w:pPr>
            <w:r>
              <w:t>实施方案或合同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提高工作效率</w:t>
            </w:r>
          </w:p>
        </w:tc>
        <w:tc>
          <w:tcPr>
            <w:tcW w:w="5386" w:type="dxa"/>
            <w:vAlign w:val="center"/>
          </w:tcPr>
          <w:p>
            <w:pPr>
              <w:pStyle w:val="13"/>
            </w:pPr>
            <w:r>
              <w:t>工作效率提升率</w:t>
            </w:r>
          </w:p>
        </w:tc>
        <w:tc>
          <w:tcPr>
            <w:tcW w:w="2268" w:type="dxa"/>
            <w:vAlign w:val="center"/>
          </w:tcPr>
          <w:p>
            <w:pPr>
              <w:pStyle w:val="13"/>
            </w:pPr>
            <w:r>
              <w:t>≥80%</w:t>
            </w:r>
          </w:p>
        </w:tc>
        <w:tc>
          <w:tcPr>
            <w:tcW w:w="1276" w:type="dxa"/>
            <w:vAlign w:val="center"/>
          </w:tcPr>
          <w:p>
            <w:pPr>
              <w:pStyle w:val="13"/>
            </w:pPr>
            <w:r>
              <w:t>考核评价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系统正常使用年限</w:t>
            </w:r>
          </w:p>
        </w:tc>
        <w:tc>
          <w:tcPr>
            <w:tcW w:w="5386" w:type="dxa"/>
            <w:vAlign w:val="center"/>
          </w:tcPr>
          <w:p>
            <w:pPr>
              <w:pStyle w:val="13"/>
            </w:pPr>
            <w:r>
              <w:t>系统正常使用时间情况</w:t>
            </w:r>
          </w:p>
        </w:tc>
        <w:tc>
          <w:tcPr>
            <w:tcW w:w="2268" w:type="dxa"/>
            <w:vAlign w:val="center"/>
          </w:tcPr>
          <w:p>
            <w:pPr>
              <w:pStyle w:val="13"/>
            </w:pPr>
            <w:r>
              <w:t>≥2年</w:t>
            </w:r>
          </w:p>
        </w:tc>
        <w:tc>
          <w:tcPr>
            <w:tcW w:w="1276" w:type="dxa"/>
            <w:vAlign w:val="center"/>
          </w:tcPr>
          <w:p>
            <w:pPr>
              <w:pStyle w:val="13"/>
            </w:pPr>
            <w:r>
              <w:t>根据实际情况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信息系统使用人员满意度</w:t>
            </w:r>
          </w:p>
        </w:tc>
        <w:tc>
          <w:tcPr>
            <w:tcW w:w="5386" w:type="dxa"/>
            <w:vAlign w:val="center"/>
          </w:tcPr>
          <w:p>
            <w:pPr>
              <w:pStyle w:val="13"/>
            </w:pPr>
            <w:r>
              <w:t>调查中反馈满意和较满意的人员数量占调查人员总数的比率</w:t>
            </w:r>
          </w:p>
        </w:tc>
        <w:tc>
          <w:tcPr>
            <w:tcW w:w="2268" w:type="dxa"/>
            <w:vAlign w:val="center"/>
          </w:tcPr>
          <w:p>
            <w:pPr>
              <w:pStyle w:val="13"/>
            </w:pPr>
            <w:r>
              <w:t>≥90%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31、承德市中心城区居民小区液化石油气瓶组气化站改造工程绩效目标表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13080023P000871100037</w:t>
            </w:r>
          </w:p>
        </w:tc>
        <w:tc>
          <w:tcPr>
            <w:tcW w:w="2835" w:type="dxa"/>
            <w:vAlign w:val="center"/>
          </w:tcPr>
          <w:p>
            <w:pPr>
              <w:pStyle w:val="11"/>
            </w:pPr>
            <w:r>
              <w:t>项目名称</w:t>
            </w:r>
          </w:p>
        </w:tc>
        <w:tc>
          <w:tcPr>
            <w:tcW w:w="6095" w:type="dxa"/>
            <w:gridSpan w:val="3"/>
            <w:vAlign w:val="center"/>
          </w:tcPr>
          <w:p>
            <w:pPr>
              <w:pStyle w:val="13"/>
            </w:pPr>
            <w:r>
              <w:t>承德市中心城区居民小区液化石油气瓶组气化站改造工程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用于支付液化瓶组站项目工程款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1.在2025年度内，花费500万元，对双桥区内共 30个液化石油气瓶组气化站居民小区燃气设施改造，完成后并入市建投公司城市燃气管网。保障居民燃气的安全使用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项目资金总成本</w:t>
            </w:r>
          </w:p>
        </w:tc>
        <w:tc>
          <w:tcPr>
            <w:tcW w:w="2268" w:type="dxa"/>
            <w:vAlign w:val="center"/>
          </w:tcPr>
          <w:p>
            <w:pPr>
              <w:pStyle w:val="13"/>
            </w:pPr>
            <w:r>
              <w:t>≤500万元</w:t>
            </w:r>
          </w:p>
        </w:tc>
        <w:tc>
          <w:tcPr>
            <w:tcW w:w="1276" w:type="dxa"/>
            <w:vAlign w:val="center"/>
          </w:tcPr>
          <w:p>
            <w:pPr>
              <w:pStyle w:val="13"/>
            </w:pPr>
            <w:r>
              <w:t>招标价格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瓶组站数量</w:t>
            </w:r>
          </w:p>
        </w:tc>
        <w:tc>
          <w:tcPr>
            <w:tcW w:w="5386" w:type="dxa"/>
            <w:vAlign w:val="center"/>
          </w:tcPr>
          <w:p>
            <w:pPr>
              <w:pStyle w:val="13"/>
            </w:pPr>
            <w:r>
              <w:t>反映液化石油气瓶组气化站数量</w:t>
            </w:r>
          </w:p>
        </w:tc>
        <w:tc>
          <w:tcPr>
            <w:tcW w:w="2268" w:type="dxa"/>
            <w:vAlign w:val="center"/>
          </w:tcPr>
          <w:p>
            <w:pPr>
              <w:pStyle w:val="13"/>
            </w:pPr>
            <w:r>
              <w:t>30个</w:t>
            </w:r>
          </w:p>
        </w:tc>
        <w:tc>
          <w:tcPr>
            <w:tcW w:w="1276" w:type="dxa"/>
            <w:vAlign w:val="center"/>
          </w:tcPr>
          <w:p>
            <w:pPr>
              <w:pStyle w:val="13"/>
            </w:pPr>
            <w:r>
              <w:t>验收记录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反映工程竣工验收的合格率</w:t>
            </w:r>
          </w:p>
        </w:tc>
        <w:tc>
          <w:tcPr>
            <w:tcW w:w="2268" w:type="dxa"/>
            <w:vAlign w:val="center"/>
          </w:tcPr>
          <w:p>
            <w:pPr>
              <w:pStyle w:val="13"/>
            </w:pPr>
            <w:r>
              <w:t>100%</w:t>
            </w:r>
          </w:p>
        </w:tc>
        <w:tc>
          <w:tcPr>
            <w:tcW w:w="1276" w:type="dxa"/>
            <w:vAlign w:val="center"/>
          </w:tcPr>
          <w:p>
            <w:pPr>
              <w:pStyle w:val="13"/>
            </w:pPr>
            <w:r>
              <w:t>验收记录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按计划时间完成</w:t>
            </w:r>
          </w:p>
        </w:tc>
        <w:tc>
          <w:tcPr>
            <w:tcW w:w="5386" w:type="dxa"/>
            <w:vAlign w:val="center"/>
          </w:tcPr>
          <w:p>
            <w:pPr>
              <w:pStyle w:val="13"/>
            </w:pPr>
            <w:r>
              <w:t>在该项目年度内完成项目建设</w:t>
            </w:r>
          </w:p>
        </w:tc>
        <w:tc>
          <w:tcPr>
            <w:tcW w:w="2268" w:type="dxa"/>
            <w:vAlign w:val="center"/>
          </w:tcPr>
          <w:p>
            <w:pPr>
              <w:pStyle w:val="13"/>
            </w:pPr>
            <w:r>
              <w:t>2025年12月底前完成</w:t>
            </w:r>
          </w:p>
        </w:tc>
        <w:tc>
          <w:tcPr>
            <w:tcW w:w="1276" w:type="dxa"/>
            <w:vAlign w:val="center"/>
          </w:tcPr>
          <w:p>
            <w:pPr>
              <w:pStyle w:val="13"/>
            </w:pPr>
            <w:r>
              <w:t>验收记录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便民利民</w:t>
            </w:r>
          </w:p>
        </w:tc>
        <w:tc>
          <w:tcPr>
            <w:tcW w:w="5386" w:type="dxa"/>
            <w:vAlign w:val="center"/>
          </w:tcPr>
          <w:p>
            <w:pPr>
              <w:pStyle w:val="13"/>
            </w:pPr>
            <w:r>
              <w:t>群众幸福感提升率</w:t>
            </w:r>
          </w:p>
        </w:tc>
        <w:tc>
          <w:tcPr>
            <w:tcW w:w="2268" w:type="dxa"/>
            <w:vAlign w:val="center"/>
          </w:tcPr>
          <w:p>
            <w:pPr>
              <w:pStyle w:val="13"/>
            </w:pPr>
            <w:r>
              <w:t>≥50%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用户满意度</w:t>
            </w:r>
          </w:p>
        </w:tc>
        <w:tc>
          <w:tcPr>
            <w:tcW w:w="5386" w:type="dxa"/>
            <w:vAlign w:val="center"/>
          </w:tcPr>
          <w:p>
            <w:pPr>
              <w:pStyle w:val="13"/>
            </w:pPr>
            <w:r>
              <w:t>老旧小区居民对改造工程的满意度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32、承德市中心城区居民小区液化石油气瓶组气化站改造工程绩效目标表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13080024P00014710004F</w:t>
            </w:r>
          </w:p>
        </w:tc>
        <w:tc>
          <w:tcPr>
            <w:tcW w:w="2835" w:type="dxa"/>
            <w:vAlign w:val="center"/>
          </w:tcPr>
          <w:p>
            <w:pPr>
              <w:pStyle w:val="11"/>
            </w:pPr>
            <w:r>
              <w:t>项目名称</w:t>
            </w:r>
          </w:p>
        </w:tc>
        <w:tc>
          <w:tcPr>
            <w:tcW w:w="6095" w:type="dxa"/>
            <w:gridSpan w:val="3"/>
            <w:vAlign w:val="center"/>
          </w:tcPr>
          <w:p>
            <w:pPr>
              <w:pStyle w:val="13"/>
            </w:pPr>
            <w:r>
              <w:t>承德市中心城区居民小区液化石油气瓶组气化站改造工程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1900.00</w:t>
            </w:r>
          </w:p>
        </w:tc>
        <w:tc>
          <w:tcPr>
            <w:tcW w:w="2835" w:type="dxa"/>
            <w:vAlign w:val="center"/>
          </w:tcPr>
          <w:p>
            <w:pPr>
              <w:pStyle w:val="11"/>
            </w:pPr>
            <w:r>
              <w:t>其中：财政    资金</w:t>
            </w:r>
          </w:p>
        </w:tc>
        <w:tc>
          <w:tcPr>
            <w:tcW w:w="2551" w:type="dxa"/>
            <w:vAlign w:val="center"/>
          </w:tcPr>
          <w:p>
            <w:pPr>
              <w:pStyle w:val="13"/>
            </w:pPr>
            <w:r>
              <w:t>1900.00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用于支付液化石油气瓶组间改造工程款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1.用于支付承德市中心城区液化石油气瓶组气化站改造工程工程款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该项目所需资金数额</w:t>
            </w:r>
          </w:p>
        </w:tc>
        <w:tc>
          <w:tcPr>
            <w:tcW w:w="2268" w:type="dxa"/>
            <w:vAlign w:val="center"/>
          </w:tcPr>
          <w:p>
            <w:pPr>
              <w:pStyle w:val="13"/>
            </w:pPr>
            <w:r>
              <w:t>≤2300万元</w:t>
            </w:r>
          </w:p>
        </w:tc>
        <w:tc>
          <w:tcPr>
            <w:tcW w:w="1276" w:type="dxa"/>
            <w:vAlign w:val="center"/>
          </w:tcPr>
          <w:p>
            <w:pPr>
              <w:pStyle w:val="13"/>
            </w:pPr>
            <w:r>
              <w:t>招标价格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改造小区数量</w:t>
            </w:r>
          </w:p>
          <w:p>
            <w:pPr>
              <w:pStyle w:val="13"/>
            </w:pPr>
          </w:p>
        </w:tc>
        <w:tc>
          <w:tcPr>
            <w:tcW w:w="5386" w:type="dxa"/>
            <w:vAlign w:val="center"/>
          </w:tcPr>
          <w:p>
            <w:pPr>
              <w:pStyle w:val="13"/>
            </w:pPr>
            <w:r>
              <w:t>液化石油气小区燃气设施改造数量为30个</w:t>
            </w:r>
          </w:p>
          <w:p>
            <w:pPr>
              <w:pStyle w:val="13"/>
            </w:pPr>
          </w:p>
        </w:tc>
        <w:tc>
          <w:tcPr>
            <w:tcW w:w="2268" w:type="dxa"/>
            <w:vAlign w:val="center"/>
          </w:tcPr>
          <w:p>
            <w:pPr>
              <w:pStyle w:val="13"/>
            </w:pPr>
            <w:r>
              <w:t>30个</w:t>
            </w:r>
          </w:p>
        </w:tc>
        <w:tc>
          <w:tcPr>
            <w:tcW w:w="1276" w:type="dxa"/>
            <w:vAlign w:val="center"/>
          </w:tcPr>
          <w:p>
            <w:pPr>
              <w:pStyle w:val="13"/>
            </w:pPr>
            <w:r>
              <w:t>验收报告</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p>
            <w:pPr>
              <w:pStyle w:val="13"/>
            </w:pPr>
          </w:p>
        </w:tc>
        <w:tc>
          <w:tcPr>
            <w:tcW w:w="5386" w:type="dxa"/>
            <w:vAlign w:val="center"/>
          </w:tcPr>
          <w:p>
            <w:pPr>
              <w:pStyle w:val="13"/>
            </w:pPr>
            <w:r>
              <w:t>验收合格率=验收合格数/改造数量</w:t>
            </w:r>
          </w:p>
        </w:tc>
        <w:tc>
          <w:tcPr>
            <w:tcW w:w="2268" w:type="dxa"/>
            <w:vAlign w:val="center"/>
          </w:tcPr>
          <w:p>
            <w:pPr>
              <w:pStyle w:val="13"/>
            </w:pPr>
            <w:r>
              <w:t>100%</w:t>
            </w:r>
          </w:p>
        </w:tc>
        <w:tc>
          <w:tcPr>
            <w:tcW w:w="1276" w:type="dxa"/>
            <w:vAlign w:val="center"/>
          </w:tcPr>
          <w:p>
            <w:pPr>
              <w:pStyle w:val="13"/>
            </w:pPr>
            <w:r>
              <w:t>验收报告</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按计划时间完成</w:t>
            </w:r>
          </w:p>
        </w:tc>
        <w:tc>
          <w:tcPr>
            <w:tcW w:w="5386" w:type="dxa"/>
            <w:vAlign w:val="center"/>
          </w:tcPr>
          <w:p>
            <w:pPr>
              <w:pStyle w:val="13"/>
            </w:pPr>
            <w:r>
              <w:t>在该项目年度内完成项目建设</w:t>
            </w:r>
          </w:p>
        </w:tc>
        <w:tc>
          <w:tcPr>
            <w:tcW w:w="2268" w:type="dxa"/>
            <w:vAlign w:val="center"/>
          </w:tcPr>
          <w:p>
            <w:pPr>
              <w:pStyle w:val="13"/>
            </w:pPr>
            <w:r>
              <w:t>2024年12月底前完成</w:t>
            </w:r>
          </w:p>
        </w:tc>
        <w:tc>
          <w:tcPr>
            <w:tcW w:w="1276" w:type="dxa"/>
            <w:vAlign w:val="center"/>
          </w:tcPr>
          <w:p>
            <w:pPr>
              <w:pStyle w:val="13"/>
            </w:pPr>
            <w:r>
              <w:t>工程实际完成时间</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便民利民</w:t>
            </w:r>
          </w:p>
        </w:tc>
        <w:tc>
          <w:tcPr>
            <w:tcW w:w="5386" w:type="dxa"/>
            <w:vAlign w:val="center"/>
          </w:tcPr>
          <w:p>
            <w:pPr>
              <w:pStyle w:val="13"/>
            </w:pPr>
            <w:r>
              <w:t>提高群众幸福感</w:t>
            </w:r>
          </w:p>
        </w:tc>
        <w:tc>
          <w:tcPr>
            <w:tcW w:w="2268" w:type="dxa"/>
            <w:vAlign w:val="center"/>
          </w:tcPr>
          <w:p>
            <w:pPr>
              <w:pStyle w:val="13"/>
            </w:pPr>
            <w:r>
              <w:t>有效提升</w:t>
            </w:r>
          </w:p>
          <w:p>
            <w:pPr>
              <w:pStyle w:val="13"/>
            </w:pPr>
          </w:p>
        </w:tc>
        <w:tc>
          <w:tcPr>
            <w:tcW w:w="1276" w:type="dxa"/>
            <w:vAlign w:val="center"/>
          </w:tcPr>
          <w:p>
            <w:pPr>
              <w:pStyle w:val="13"/>
            </w:pPr>
            <w:r>
              <w:t>实际调查结果</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用户满意度</w:t>
            </w:r>
          </w:p>
        </w:tc>
        <w:tc>
          <w:tcPr>
            <w:tcW w:w="5386" w:type="dxa"/>
            <w:vAlign w:val="center"/>
          </w:tcPr>
          <w:p>
            <w:pPr>
              <w:pStyle w:val="13"/>
            </w:pPr>
            <w:r>
              <w:t>老旧小区居民满意度</w:t>
            </w:r>
          </w:p>
        </w:tc>
        <w:tc>
          <w:tcPr>
            <w:tcW w:w="2268" w:type="dxa"/>
            <w:vAlign w:val="center"/>
          </w:tcPr>
          <w:p>
            <w:pPr>
              <w:pStyle w:val="13"/>
            </w:pPr>
            <w:r>
              <w:t>≥90%</w:t>
            </w:r>
          </w:p>
        </w:tc>
        <w:tc>
          <w:tcPr>
            <w:tcW w:w="1276" w:type="dxa"/>
            <w:vAlign w:val="center"/>
          </w:tcPr>
          <w:p>
            <w:pPr>
              <w:pStyle w:val="13"/>
            </w:pPr>
            <w:r>
              <w:t>实际调查结果</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33、承德市中心城区居民小区液化石油气瓶组气化站改造工程（2024）绩效目标表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13080024P000163100020</w:t>
            </w:r>
          </w:p>
        </w:tc>
        <w:tc>
          <w:tcPr>
            <w:tcW w:w="2835" w:type="dxa"/>
            <w:vAlign w:val="center"/>
          </w:tcPr>
          <w:p>
            <w:pPr>
              <w:pStyle w:val="11"/>
            </w:pPr>
            <w:r>
              <w:t>项目名称</w:t>
            </w:r>
          </w:p>
        </w:tc>
        <w:tc>
          <w:tcPr>
            <w:tcW w:w="6095" w:type="dxa"/>
            <w:gridSpan w:val="3"/>
            <w:vAlign w:val="center"/>
          </w:tcPr>
          <w:p>
            <w:pPr>
              <w:pStyle w:val="13"/>
            </w:pPr>
            <w:r>
              <w:t>承德市中心城区居民小区液化石油气瓶组气化站改造工程（2024）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用于支付液化石油气瓶组气化站工程项目资金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1.2025年度内，花费资金500万元，完成双桥区内共 30个液化石油气瓶组气化站居民小区燃气设施改造，完成后并入市建投公司城市燃气管网。保障居民燃气正常安全使用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项目资金总成本</w:t>
            </w:r>
          </w:p>
        </w:tc>
        <w:tc>
          <w:tcPr>
            <w:tcW w:w="2268" w:type="dxa"/>
            <w:vAlign w:val="center"/>
          </w:tcPr>
          <w:p>
            <w:pPr>
              <w:pStyle w:val="13"/>
            </w:pPr>
            <w:r>
              <w:t>≤500万元</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燃气设施改造小区数量</w:t>
            </w:r>
          </w:p>
        </w:tc>
        <w:tc>
          <w:tcPr>
            <w:tcW w:w="5386" w:type="dxa"/>
            <w:vAlign w:val="center"/>
          </w:tcPr>
          <w:p>
            <w:pPr>
              <w:pStyle w:val="13"/>
            </w:pPr>
            <w:r>
              <w:t>5个液化石油气小区燃气设施改造</w:t>
            </w:r>
          </w:p>
        </w:tc>
        <w:tc>
          <w:tcPr>
            <w:tcW w:w="2268" w:type="dxa"/>
            <w:vAlign w:val="center"/>
          </w:tcPr>
          <w:p>
            <w:pPr>
              <w:pStyle w:val="13"/>
            </w:pPr>
            <w:r>
              <w:t>5个</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工程竣工验收质量的合格率</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项目完工时间</w:t>
            </w:r>
          </w:p>
        </w:tc>
        <w:tc>
          <w:tcPr>
            <w:tcW w:w="5386" w:type="dxa"/>
            <w:vAlign w:val="center"/>
          </w:tcPr>
          <w:p>
            <w:pPr>
              <w:pStyle w:val="13"/>
            </w:pPr>
            <w:r>
              <w:t>在该项目年度内完成项目建设</w:t>
            </w:r>
          </w:p>
        </w:tc>
        <w:tc>
          <w:tcPr>
            <w:tcW w:w="2268" w:type="dxa"/>
            <w:vAlign w:val="center"/>
          </w:tcPr>
          <w:p>
            <w:pPr>
              <w:pStyle w:val="13"/>
            </w:pPr>
            <w:r>
              <w:t>2025年12月底前完成</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便民利民</w:t>
            </w:r>
          </w:p>
        </w:tc>
        <w:tc>
          <w:tcPr>
            <w:tcW w:w="5386" w:type="dxa"/>
            <w:vAlign w:val="center"/>
          </w:tcPr>
          <w:p>
            <w:pPr>
              <w:pStyle w:val="13"/>
            </w:pPr>
            <w:r>
              <w:t>群众幸福指数提升率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居民用户满意度</w:t>
            </w:r>
          </w:p>
        </w:tc>
        <w:tc>
          <w:tcPr>
            <w:tcW w:w="5386" w:type="dxa"/>
            <w:vAlign w:val="center"/>
          </w:tcPr>
          <w:p>
            <w:pPr>
              <w:pStyle w:val="13"/>
            </w:pPr>
            <w:r>
              <w:t>居民用户对燃气改造的满意度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34、创城点位公益性广告建设维护及破旧广告拆除项目（2024）绩效目标表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13080024P00016410004W</w:t>
            </w:r>
          </w:p>
        </w:tc>
        <w:tc>
          <w:tcPr>
            <w:tcW w:w="2835" w:type="dxa"/>
            <w:vAlign w:val="center"/>
          </w:tcPr>
          <w:p>
            <w:pPr>
              <w:pStyle w:val="11"/>
            </w:pPr>
            <w:r>
              <w:t>项目名称</w:t>
            </w:r>
          </w:p>
        </w:tc>
        <w:tc>
          <w:tcPr>
            <w:tcW w:w="6095" w:type="dxa"/>
            <w:gridSpan w:val="3"/>
            <w:vAlign w:val="center"/>
          </w:tcPr>
          <w:p>
            <w:pPr>
              <w:pStyle w:val="13"/>
            </w:pPr>
            <w:r>
              <w:t>创城点位公益性广告建设维护及破旧广告拆除项目（2024）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用于支付广告建设维护及破旧广告拆除项目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1.2025年内，花费100万元，拆除破旧广告，更新符合创城标准的公益广告及景观小品，提升群众幸福感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建设总成本</w:t>
            </w:r>
          </w:p>
        </w:tc>
        <w:tc>
          <w:tcPr>
            <w:tcW w:w="5386" w:type="dxa"/>
            <w:vAlign w:val="center"/>
          </w:tcPr>
          <w:p>
            <w:pPr>
              <w:pStyle w:val="13"/>
            </w:pPr>
            <w:r>
              <w:t>项目建设总成本</w:t>
            </w:r>
          </w:p>
        </w:tc>
        <w:tc>
          <w:tcPr>
            <w:tcW w:w="2268" w:type="dxa"/>
            <w:vAlign w:val="center"/>
          </w:tcPr>
          <w:p>
            <w:pPr>
              <w:pStyle w:val="13"/>
            </w:pPr>
            <w:r>
              <w:t>≤100万元</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拆除维护户外广告设施种类</w:t>
            </w:r>
          </w:p>
        </w:tc>
        <w:tc>
          <w:tcPr>
            <w:tcW w:w="5386" w:type="dxa"/>
            <w:vAlign w:val="center"/>
          </w:tcPr>
          <w:p>
            <w:pPr>
              <w:pStyle w:val="13"/>
            </w:pPr>
            <w:r>
              <w:t>拆除维护户外广告设施种类数量</w:t>
            </w:r>
          </w:p>
        </w:tc>
        <w:tc>
          <w:tcPr>
            <w:tcW w:w="2268" w:type="dxa"/>
            <w:vAlign w:val="center"/>
          </w:tcPr>
          <w:p>
            <w:pPr>
              <w:pStyle w:val="13"/>
            </w:pPr>
            <w:r>
              <w:t>3类</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竣工验收合格率</w:t>
            </w:r>
          </w:p>
        </w:tc>
        <w:tc>
          <w:tcPr>
            <w:tcW w:w="5386" w:type="dxa"/>
            <w:vAlign w:val="center"/>
          </w:tcPr>
          <w:p>
            <w:pPr>
              <w:pStyle w:val="13"/>
            </w:pPr>
            <w:r>
              <w:t>工程竣工验收合格率</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工程竣工及时性</w:t>
            </w:r>
          </w:p>
        </w:tc>
        <w:tc>
          <w:tcPr>
            <w:tcW w:w="5386" w:type="dxa"/>
            <w:vAlign w:val="center"/>
          </w:tcPr>
          <w:p>
            <w:pPr>
              <w:pStyle w:val="13"/>
            </w:pPr>
            <w:r>
              <w:t>在合同约定的工期内竣工无延期情况</w:t>
            </w:r>
          </w:p>
        </w:tc>
        <w:tc>
          <w:tcPr>
            <w:tcW w:w="2268" w:type="dxa"/>
            <w:vAlign w:val="center"/>
          </w:tcPr>
          <w:p>
            <w:pPr>
              <w:pStyle w:val="13"/>
            </w:pPr>
            <w:r>
              <w:t>2025年12月31日前</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加强公益宣传</w:t>
            </w:r>
          </w:p>
        </w:tc>
        <w:tc>
          <w:tcPr>
            <w:tcW w:w="5386" w:type="dxa"/>
            <w:vAlign w:val="center"/>
          </w:tcPr>
          <w:p>
            <w:pPr>
              <w:pStyle w:val="13"/>
            </w:pPr>
            <w:r>
              <w:t>对公益宣传，提升市容貌和装点节日氛围胡提升率</w:t>
            </w:r>
          </w:p>
        </w:tc>
        <w:tc>
          <w:tcPr>
            <w:tcW w:w="2268" w:type="dxa"/>
            <w:vAlign w:val="center"/>
          </w:tcPr>
          <w:p>
            <w:pPr>
              <w:pStyle w:val="13"/>
            </w:pPr>
            <w:r>
              <w:t>≥30%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设施使用年限</w:t>
            </w:r>
          </w:p>
        </w:tc>
        <w:tc>
          <w:tcPr>
            <w:tcW w:w="5386" w:type="dxa"/>
            <w:vAlign w:val="center"/>
          </w:tcPr>
          <w:p>
            <w:pPr>
              <w:pStyle w:val="13"/>
            </w:pPr>
            <w:r>
              <w:t>设施使用年限达到预期标准</w:t>
            </w:r>
          </w:p>
        </w:tc>
        <w:tc>
          <w:tcPr>
            <w:tcW w:w="2268" w:type="dxa"/>
            <w:vAlign w:val="center"/>
          </w:tcPr>
          <w:p>
            <w:pPr>
              <w:pStyle w:val="13"/>
            </w:pPr>
            <w:r>
              <w:t>≥1年</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社会公众满意情况</w:t>
            </w:r>
          </w:p>
        </w:tc>
        <w:tc>
          <w:tcPr>
            <w:tcW w:w="5386" w:type="dxa"/>
            <w:vAlign w:val="center"/>
          </w:tcPr>
          <w:p>
            <w:pPr>
              <w:pStyle w:val="13"/>
            </w:pPr>
            <w:r>
              <w:t>社会公众满意度情况</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35、凤凰山大桥及承德东高速口配套变压器绩效目标表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13080022P00077410001T</w:t>
            </w:r>
          </w:p>
        </w:tc>
        <w:tc>
          <w:tcPr>
            <w:tcW w:w="2835" w:type="dxa"/>
            <w:vAlign w:val="center"/>
          </w:tcPr>
          <w:p>
            <w:pPr>
              <w:pStyle w:val="11"/>
            </w:pPr>
            <w:r>
              <w:t>项目名称</w:t>
            </w:r>
          </w:p>
        </w:tc>
        <w:tc>
          <w:tcPr>
            <w:tcW w:w="6095" w:type="dxa"/>
            <w:gridSpan w:val="3"/>
            <w:vAlign w:val="center"/>
          </w:tcPr>
          <w:p>
            <w:pPr>
              <w:pStyle w:val="13"/>
            </w:pPr>
            <w:r>
              <w:t>凤凰山大桥及承德东高速口配套变压器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32.04</w:t>
            </w:r>
          </w:p>
        </w:tc>
        <w:tc>
          <w:tcPr>
            <w:tcW w:w="2835" w:type="dxa"/>
            <w:vAlign w:val="center"/>
          </w:tcPr>
          <w:p>
            <w:pPr>
              <w:pStyle w:val="11"/>
            </w:pPr>
            <w:r>
              <w:t>其中：财政    资金</w:t>
            </w:r>
          </w:p>
        </w:tc>
        <w:tc>
          <w:tcPr>
            <w:tcW w:w="2551" w:type="dxa"/>
            <w:vAlign w:val="center"/>
          </w:tcPr>
          <w:p>
            <w:pPr>
              <w:pStyle w:val="13"/>
            </w:pPr>
            <w:r>
              <w:t>32.04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用于支付凤凰山大桥及承德东高速口配套变压器的工程款</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1.在2025年度，花费32.03万元，完成凤凰山大桥及承德东高速口配套变压器的安装和正常使用，保障凤凰山大桥的亮化运转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项目建设成本</w:t>
            </w:r>
          </w:p>
        </w:tc>
        <w:tc>
          <w:tcPr>
            <w:tcW w:w="5386" w:type="dxa"/>
            <w:vAlign w:val="center"/>
          </w:tcPr>
          <w:p>
            <w:pPr>
              <w:pStyle w:val="13"/>
            </w:pPr>
            <w:r>
              <w:t>项目建设成本</w:t>
            </w:r>
          </w:p>
        </w:tc>
        <w:tc>
          <w:tcPr>
            <w:tcW w:w="2268" w:type="dxa"/>
            <w:vAlign w:val="center"/>
          </w:tcPr>
          <w:p>
            <w:pPr>
              <w:pStyle w:val="13"/>
            </w:pPr>
            <w:r>
              <w:t>≤32.03万元</w:t>
            </w:r>
          </w:p>
        </w:tc>
        <w:tc>
          <w:tcPr>
            <w:tcW w:w="1276" w:type="dxa"/>
            <w:vAlign w:val="center"/>
          </w:tcPr>
          <w:p>
            <w:pPr>
              <w:pStyle w:val="13"/>
            </w:pPr>
            <w:r>
              <w:t>合同依据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工程量清单</w:t>
            </w:r>
          </w:p>
        </w:tc>
        <w:tc>
          <w:tcPr>
            <w:tcW w:w="5386" w:type="dxa"/>
            <w:vAlign w:val="center"/>
          </w:tcPr>
          <w:p>
            <w:pPr>
              <w:pStyle w:val="13"/>
            </w:pPr>
            <w:r>
              <w:t>工程量清单数量</w:t>
            </w:r>
          </w:p>
        </w:tc>
        <w:tc>
          <w:tcPr>
            <w:tcW w:w="2268" w:type="dxa"/>
            <w:vAlign w:val="center"/>
          </w:tcPr>
          <w:p>
            <w:pPr>
              <w:pStyle w:val="13"/>
            </w:pPr>
            <w:r>
              <w:t>1个</w:t>
            </w:r>
          </w:p>
        </w:tc>
        <w:tc>
          <w:tcPr>
            <w:tcW w:w="1276" w:type="dxa"/>
            <w:vAlign w:val="center"/>
          </w:tcPr>
          <w:p>
            <w:pPr>
              <w:pStyle w:val="13"/>
            </w:pPr>
            <w:r>
              <w:t>完成工程量清单内容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合同工期</w:t>
            </w:r>
          </w:p>
        </w:tc>
        <w:tc>
          <w:tcPr>
            <w:tcW w:w="5386" w:type="dxa"/>
            <w:vAlign w:val="center"/>
          </w:tcPr>
          <w:p>
            <w:pPr>
              <w:pStyle w:val="13"/>
            </w:pPr>
            <w:r>
              <w:t>按照合同约定期限完成</w:t>
            </w:r>
          </w:p>
        </w:tc>
        <w:tc>
          <w:tcPr>
            <w:tcW w:w="2268" w:type="dxa"/>
            <w:vAlign w:val="center"/>
          </w:tcPr>
          <w:p>
            <w:pPr>
              <w:pStyle w:val="13"/>
            </w:pPr>
            <w:r>
              <w:t>2025年底前完成</w:t>
            </w:r>
          </w:p>
        </w:tc>
        <w:tc>
          <w:tcPr>
            <w:tcW w:w="1276" w:type="dxa"/>
            <w:vAlign w:val="center"/>
          </w:tcPr>
          <w:p>
            <w:pPr>
              <w:pStyle w:val="13"/>
            </w:pPr>
            <w:r>
              <w:t>按照合同约定期限完成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达到招标文件要求标准</w:t>
            </w:r>
          </w:p>
        </w:tc>
        <w:tc>
          <w:tcPr>
            <w:tcW w:w="5386" w:type="dxa"/>
            <w:vAlign w:val="center"/>
          </w:tcPr>
          <w:p>
            <w:pPr>
              <w:pStyle w:val="13"/>
            </w:pPr>
            <w:r>
              <w:t>变压器安装合格率</w:t>
            </w:r>
          </w:p>
        </w:tc>
        <w:tc>
          <w:tcPr>
            <w:tcW w:w="2268" w:type="dxa"/>
            <w:vAlign w:val="center"/>
          </w:tcPr>
          <w:p>
            <w:pPr>
              <w:pStyle w:val="13"/>
            </w:pPr>
            <w:r>
              <w:t>100%</w:t>
            </w:r>
          </w:p>
        </w:tc>
        <w:tc>
          <w:tcPr>
            <w:tcW w:w="1276" w:type="dxa"/>
            <w:vAlign w:val="center"/>
          </w:tcPr>
          <w:p>
            <w:pPr>
              <w:pStyle w:val="13"/>
            </w:pPr>
            <w:r>
              <w:t>工程质量达到招标文件要求标准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项目预期使用寿命</w:t>
            </w:r>
          </w:p>
        </w:tc>
        <w:tc>
          <w:tcPr>
            <w:tcW w:w="5386" w:type="dxa"/>
            <w:vAlign w:val="center"/>
          </w:tcPr>
          <w:p>
            <w:pPr>
              <w:pStyle w:val="13"/>
            </w:pPr>
            <w:r>
              <w:t>项目预期使用寿命</w:t>
            </w:r>
          </w:p>
        </w:tc>
        <w:tc>
          <w:tcPr>
            <w:tcW w:w="2268" w:type="dxa"/>
            <w:vAlign w:val="center"/>
          </w:tcPr>
          <w:p>
            <w:pPr>
              <w:pStyle w:val="13"/>
            </w:pPr>
            <w:r>
              <w:t>≥2年</w:t>
            </w:r>
          </w:p>
        </w:tc>
        <w:tc>
          <w:tcPr>
            <w:tcW w:w="1276" w:type="dxa"/>
            <w:vAlign w:val="center"/>
          </w:tcPr>
          <w:p>
            <w:pPr>
              <w:pStyle w:val="13"/>
            </w:pPr>
            <w:r>
              <w:t>变压器使用寿命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提升周边环境</w:t>
            </w:r>
          </w:p>
        </w:tc>
        <w:tc>
          <w:tcPr>
            <w:tcW w:w="5386" w:type="dxa"/>
            <w:vAlign w:val="center"/>
          </w:tcPr>
          <w:p>
            <w:pPr>
              <w:pStyle w:val="13"/>
            </w:pPr>
            <w:r>
              <w:t>周边环境提升率</w:t>
            </w:r>
          </w:p>
        </w:tc>
        <w:tc>
          <w:tcPr>
            <w:tcW w:w="2268" w:type="dxa"/>
            <w:vAlign w:val="center"/>
          </w:tcPr>
          <w:p>
            <w:pPr>
              <w:pStyle w:val="13"/>
            </w:pPr>
            <w:r>
              <w:t>≥30%</w:t>
            </w:r>
          </w:p>
        </w:tc>
        <w:tc>
          <w:tcPr>
            <w:tcW w:w="1276" w:type="dxa"/>
            <w:vAlign w:val="center"/>
          </w:tcPr>
          <w:p>
            <w:pPr>
              <w:pStyle w:val="13"/>
            </w:pPr>
            <w:r>
              <w:t>周边环境提升情况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36、高层次人才购房补贴绩效目标表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13080025P000035100082</w:t>
            </w:r>
          </w:p>
        </w:tc>
        <w:tc>
          <w:tcPr>
            <w:tcW w:w="2835" w:type="dxa"/>
            <w:vAlign w:val="center"/>
          </w:tcPr>
          <w:p>
            <w:pPr>
              <w:pStyle w:val="11"/>
            </w:pPr>
            <w:r>
              <w:t>项目名称</w:t>
            </w:r>
          </w:p>
        </w:tc>
        <w:tc>
          <w:tcPr>
            <w:tcW w:w="6095" w:type="dxa"/>
            <w:gridSpan w:val="3"/>
            <w:vAlign w:val="center"/>
          </w:tcPr>
          <w:p>
            <w:pPr>
              <w:pStyle w:val="13"/>
            </w:pPr>
            <w:r>
              <w:t>高层次人才购房补贴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用于支付高层次人才购房补贴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1.我局于2021年引进1名市直事业单位研究生高层次人才，2025年申请购房补贴15万元用于支付引进人才购房补贴资金，提升高层次人才生活水平。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受到补助人数</w:t>
            </w:r>
          </w:p>
        </w:tc>
        <w:tc>
          <w:tcPr>
            <w:tcW w:w="5386" w:type="dxa"/>
            <w:vAlign w:val="center"/>
          </w:tcPr>
          <w:p>
            <w:pPr>
              <w:pStyle w:val="13"/>
            </w:pPr>
            <w:r>
              <w:t>受到补助个人数量</w:t>
            </w:r>
          </w:p>
        </w:tc>
        <w:tc>
          <w:tcPr>
            <w:tcW w:w="2268" w:type="dxa"/>
            <w:vAlign w:val="center"/>
          </w:tcPr>
          <w:p>
            <w:pPr>
              <w:pStyle w:val="13"/>
            </w:pPr>
            <w:r>
              <w:t>1人</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补助人员合规率</w:t>
            </w:r>
          </w:p>
        </w:tc>
        <w:tc>
          <w:tcPr>
            <w:tcW w:w="5386" w:type="dxa"/>
            <w:vAlign w:val="center"/>
          </w:tcPr>
          <w:p>
            <w:pPr>
              <w:pStyle w:val="13"/>
            </w:pPr>
            <w:r>
              <w:t>补助人员合规率</w:t>
            </w: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5386" w:type="dxa"/>
            <w:vAlign w:val="center"/>
          </w:tcPr>
          <w:p>
            <w:pPr>
              <w:pStyle w:val="13"/>
            </w:pPr>
            <w:r>
              <w:t>按要求在规定时间内及时完成发放</w:t>
            </w:r>
          </w:p>
        </w:tc>
        <w:tc>
          <w:tcPr>
            <w:tcW w:w="2268" w:type="dxa"/>
            <w:vAlign w:val="center"/>
          </w:tcPr>
          <w:p>
            <w:pPr>
              <w:pStyle w:val="13"/>
            </w:pPr>
            <w:r>
              <w:t>2025年12月底前完成</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5386" w:type="dxa"/>
            <w:vAlign w:val="center"/>
          </w:tcPr>
          <w:p>
            <w:pPr>
              <w:pStyle w:val="13"/>
            </w:pPr>
            <w:r>
              <w:t>人均补助标准</w:t>
            </w:r>
          </w:p>
        </w:tc>
        <w:tc>
          <w:tcPr>
            <w:tcW w:w="2268" w:type="dxa"/>
            <w:vAlign w:val="center"/>
          </w:tcPr>
          <w:p>
            <w:pPr>
              <w:pStyle w:val="13"/>
            </w:pPr>
            <w:r>
              <w:t>15万元/人</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受补助人群在生活、医疗、护理、教育等方面的改善情况</w:t>
            </w:r>
          </w:p>
        </w:tc>
        <w:tc>
          <w:tcPr>
            <w:tcW w:w="2268" w:type="dxa"/>
            <w:vAlign w:val="center"/>
          </w:tcPr>
          <w:p>
            <w:pPr>
              <w:pStyle w:val="13"/>
            </w:pPr>
            <w:r>
              <w:t>不低于上年</w:t>
            </w:r>
          </w:p>
        </w:tc>
        <w:tc>
          <w:tcPr>
            <w:tcW w:w="1276" w:type="dxa"/>
            <w:vAlign w:val="center"/>
          </w:tcPr>
          <w:p>
            <w:pPr>
              <w:pStyle w:val="13"/>
            </w:pPr>
            <w:r>
              <w:t>年度工作计划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通过问卷调查，满意和较满意的受益对象占全部调研对象的比率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37、广仁大街道路改造项目绩效目标表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13080022P000769100010</w:t>
            </w:r>
          </w:p>
        </w:tc>
        <w:tc>
          <w:tcPr>
            <w:tcW w:w="2835" w:type="dxa"/>
            <w:vAlign w:val="center"/>
          </w:tcPr>
          <w:p>
            <w:pPr>
              <w:pStyle w:val="11"/>
            </w:pPr>
            <w:r>
              <w:t>项目名称</w:t>
            </w:r>
          </w:p>
        </w:tc>
        <w:tc>
          <w:tcPr>
            <w:tcW w:w="6095" w:type="dxa"/>
            <w:gridSpan w:val="3"/>
            <w:vAlign w:val="center"/>
          </w:tcPr>
          <w:p>
            <w:pPr>
              <w:pStyle w:val="13"/>
            </w:pPr>
            <w:r>
              <w:t>广仁大街道路改造项目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651.72</w:t>
            </w:r>
          </w:p>
        </w:tc>
        <w:tc>
          <w:tcPr>
            <w:tcW w:w="2835" w:type="dxa"/>
            <w:vAlign w:val="center"/>
          </w:tcPr>
          <w:p>
            <w:pPr>
              <w:pStyle w:val="11"/>
            </w:pPr>
            <w:r>
              <w:t>其中：财政    资金</w:t>
            </w:r>
          </w:p>
        </w:tc>
        <w:tc>
          <w:tcPr>
            <w:tcW w:w="2551" w:type="dxa"/>
            <w:vAlign w:val="center"/>
          </w:tcPr>
          <w:p>
            <w:pPr>
              <w:pStyle w:val="13"/>
            </w:pPr>
            <w:r>
              <w:t>651.72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用于支付广仁大街道路改造项目的工程款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1.在2025年度内，花费651.21万元，对广仁大街道路进行改造，提升交通效率，保障群众出行安全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项目建设成本</w:t>
            </w:r>
          </w:p>
        </w:tc>
        <w:tc>
          <w:tcPr>
            <w:tcW w:w="5386" w:type="dxa"/>
            <w:vAlign w:val="center"/>
          </w:tcPr>
          <w:p>
            <w:pPr>
              <w:pStyle w:val="13"/>
            </w:pPr>
            <w:r>
              <w:t>对广仁大街道路和绿化进行改造提升</w:t>
            </w:r>
          </w:p>
        </w:tc>
        <w:tc>
          <w:tcPr>
            <w:tcW w:w="2268" w:type="dxa"/>
            <w:vAlign w:val="center"/>
          </w:tcPr>
          <w:p>
            <w:pPr>
              <w:pStyle w:val="13"/>
            </w:pPr>
            <w:r>
              <w:t>≤651.21万元</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道路改造条数</w:t>
            </w:r>
          </w:p>
        </w:tc>
        <w:tc>
          <w:tcPr>
            <w:tcW w:w="5386" w:type="dxa"/>
            <w:vAlign w:val="center"/>
          </w:tcPr>
          <w:p>
            <w:pPr>
              <w:pStyle w:val="13"/>
            </w:pPr>
            <w:r>
              <w:t>反映工程改造道路的条数</w:t>
            </w:r>
          </w:p>
        </w:tc>
        <w:tc>
          <w:tcPr>
            <w:tcW w:w="2268" w:type="dxa"/>
            <w:vAlign w:val="center"/>
          </w:tcPr>
          <w:p>
            <w:pPr>
              <w:pStyle w:val="13"/>
            </w:pPr>
            <w:r>
              <w:t>1条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项目竣工时间</w:t>
            </w:r>
          </w:p>
        </w:tc>
        <w:tc>
          <w:tcPr>
            <w:tcW w:w="5386" w:type="dxa"/>
            <w:vAlign w:val="center"/>
          </w:tcPr>
          <w:p>
            <w:pPr>
              <w:pStyle w:val="13"/>
            </w:pPr>
            <w:r>
              <w:t>反映项目完成的时限</w:t>
            </w:r>
          </w:p>
        </w:tc>
        <w:tc>
          <w:tcPr>
            <w:tcW w:w="2268" w:type="dxa"/>
            <w:vAlign w:val="center"/>
          </w:tcPr>
          <w:p>
            <w:pPr>
              <w:pStyle w:val="13"/>
            </w:pPr>
            <w:r>
              <w:t>2025年12月底前完成</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项目竣工验收合格率</w:t>
            </w:r>
          </w:p>
        </w:tc>
        <w:tc>
          <w:tcPr>
            <w:tcW w:w="5386" w:type="dxa"/>
            <w:vAlign w:val="center"/>
          </w:tcPr>
          <w:p>
            <w:pPr>
              <w:pStyle w:val="13"/>
            </w:pPr>
            <w:r>
              <w:t>反映工程竣工后验收的合格率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90百分比</w:t>
            </w:r>
          </w:p>
        </w:tc>
        <w:tc>
          <w:tcPr>
            <w:tcW w:w="1276" w:type="dxa"/>
            <w:vAlign w:val="center"/>
          </w:tcPr>
          <w:p>
            <w:pPr>
              <w:pStyle w:val="13"/>
            </w:pPr>
            <w:r>
              <w:t>改善广仁大街道路环境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建筑使用年限</w:t>
            </w:r>
          </w:p>
        </w:tc>
        <w:tc>
          <w:tcPr>
            <w:tcW w:w="5386" w:type="dxa"/>
            <w:vAlign w:val="center"/>
          </w:tcPr>
          <w:p>
            <w:pPr>
              <w:pStyle w:val="13"/>
            </w:pPr>
            <w:r>
              <w:t>反映建筑可持续使用年限</w:t>
            </w:r>
          </w:p>
        </w:tc>
        <w:tc>
          <w:tcPr>
            <w:tcW w:w="2268" w:type="dxa"/>
            <w:vAlign w:val="center"/>
          </w:tcPr>
          <w:p>
            <w:pPr>
              <w:pStyle w:val="13"/>
            </w:pPr>
            <w:r>
              <w:t>≥2年</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提高通行效率</w:t>
            </w:r>
          </w:p>
        </w:tc>
        <w:tc>
          <w:tcPr>
            <w:tcW w:w="5386" w:type="dxa"/>
            <w:vAlign w:val="center"/>
          </w:tcPr>
          <w:p>
            <w:pPr>
              <w:pStyle w:val="13"/>
            </w:pPr>
            <w:r>
              <w:t>反映工程对交通情况的改善提升率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社会群众满意度</w:t>
            </w:r>
          </w:p>
        </w:tc>
        <w:tc>
          <w:tcPr>
            <w:tcW w:w="5386" w:type="dxa"/>
            <w:vAlign w:val="center"/>
          </w:tcPr>
          <w:p>
            <w:pPr>
              <w:pStyle w:val="13"/>
            </w:pPr>
            <w:r>
              <w:t>社会群众对道路改造的满意度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38、生活垃圾处理设施第三方调研评估绩效目标表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13080025P000014100053</w:t>
            </w:r>
          </w:p>
        </w:tc>
        <w:tc>
          <w:tcPr>
            <w:tcW w:w="2835" w:type="dxa"/>
            <w:vAlign w:val="center"/>
          </w:tcPr>
          <w:p>
            <w:pPr>
              <w:pStyle w:val="11"/>
            </w:pPr>
            <w:r>
              <w:t>项目名称</w:t>
            </w:r>
          </w:p>
        </w:tc>
        <w:tc>
          <w:tcPr>
            <w:tcW w:w="6095" w:type="dxa"/>
            <w:gridSpan w:val="3"/>
            <w:vAlign w:val="center"/>
          </w:tcPr>
          <w:p>
            <w:pPr>
              <w:pStyle w:val="13"/>
            </w:pPr>
            <w:r>
              <w:t>生活垃圾处理设施第三方调研评估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w:t>
            </w:r>
          </w:p>
        </w:tc>
        <w:tc>
          <w:tcPr>
            <w:tcW w:w="2835" w:type="dxa"/>
            <w:vAlign w:val="center"/>
          </w:tcPr>
          <w:p>
            <w:pPr>
              <w:pStyle w:val="11"/>
            </w:pPr>
            <w:r>
              <w:t>其中：财政    资金</w:t>
            </w:r>
          </w:p>
        </w:tc>
        <w:tc>
          <w:tcPr>
            <w:tcW w:w="2551" w:type="dxa"/>
            <w:vAlign w:val="center"/>
          </w:tcPr>
          <w:p>
            <w:pPr>
              <w:pStyle w:val="13"/>
            </w:pPr>
            <w:r>
              <w:t>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用于支付生活垃圾处理设施第三方调研评估费用</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1.对全市垃圾处理设施开展一次调研评估，并出具评估报告，保障各垃圾处理设施安全稳定运行。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完成评估报告数量</w:t>
            </w:r>
          </w:p>
        </w:tc>
        <w:tc>
          <w:tcPr>
            <w:tcW w:w="5386" w:type="dxa"/>
            <w:vAlign w:val="center"/>
          </w:tcPr>
          <w:p>
            <w:pPr>
              <w:pStyle w:val="13"/>
            </w:pPr>
            <w:r>
              <w:t>反映当年完成评估报告数量</w:t>
            </w:r>
          </w:p>
        </w:tc>
        <w:tc>
          <w:tcPr>
            <w:tcW w:w="2268" w:type="dxa"/>
            <w:vAlign w:val="center"/>
          </w:tcPr>
          <w:p>
            <w:pPr>
              <w:pStyle w:val="13"/>
            </w:pPr>
            <w:r>
              <w:t>1份</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评估报告评审合格率</w:t>
            </w:r>
          </w:p>
        </w:tc>
        <w:tc>
          <w:tcPr>
            <w:tcW w:w="5386" w:type="dxa"/>
            <w:vAlign w:val="center"/>
          </w:tcPr>
          <w:p>
            <w:pPr>
              <w:pStyle w:val="13"/>
            </w:pPr>
            <w:r>
              <w:t>评估报告评审合格率=合格报告数/所有评审报告数*100%</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评估报告完成及时性</w:t>
            </w:r>
          </w:p>
        </w:tc>
        <w:tc>
          <w:tcPr>
            <w:tcW w:w="5386" w:type="dxa"/>
            <w:vAlign w:val="center"/>
          </w:tcPr>
          <w:p>
            <w:pPr>
              <w:pStyle w:val="13"/>
            </w:pPr>
            <w:r>
              <w:t>按时完成评估报告，不延期</w:t>
            </w:r>
          </w:p>
        </w:tc>
        <w:tc>
          <w:tcPr>
            <w:tcW w:w="2268" w:type="dxa"/>
            <w:vAlign w:val="center"/>
          </w:tcPr>
          <w:p>
            <w:pPr>
              <w:pStyle w:val="13"/>
            </w:pPr>
            <w:r>
              <w:t>2025年12月1日前</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反应该项目所需资金数额</w:t>
            </w:r>
          </w:p>
        </w:tc>
        <w:tc>
          <w:tcPr>
            <w:tcW w:w="2268" w:type="dxa"/>
            <w:vAlign w:val="center"/>
          </w:tcPr>
          <w:p>
            <w:pPr>
              <w:pStyle w:val="13"/>
            </w:pPr>
            <w:r>
              <w:t>≤17万</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聘用第三方后资金节约率</w:t>
            </w:r>
          </w:p>
        </w:tc>
        <w:tc>
          <w:tcPr>
            <w:tcW w:w="5386" w:type="dxa"/>
            <w:vAlign w:val="center"/>
          </w:tcPr>
          <w:p>
            <w:pPr>
              <w:pStyle w:val="13"/>
            </w:pPr>
            <w:r>
              <w:t>反映聘请第三方机构完成评估工作节省资金的节约率</w:t>
            </w:r>
          </w:p>
        </w:tc>
        <w:tc>
          <w:tcPr>
            <w:tcW w:w="2268" w:type="dxa"/>
            <w:vAlign w:val="center"/>
          </w:tcPr>
          <w:p>
            <w:pPr>
              <w:pStyle w:val="13"/>
            </w:pPr>
            <w:r>
              <w:t>≥30%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提供长期稳定服务</w:t>
            </w:r>
          </w:p>
          <w:p>
            <w:pPr>
              <w:pStyle w:val="13"/>
            </w:pPr>
          </w:p>
        </w:tc>
        <w:tc>
          <w:tcPr>
            <w:tcW w:w="5386" w:type="dxa"/>
            <w:vAlign w:val="center"/>
          </w:tcPr>
          <w:p>
            <w:pPr>
              <w:pStyle w:val="13"/>
            </w:pPr>
            <w:r>
              <w:t>第三方机构实施项目能够长期稳定保障垃圾处理工作顺利进行</w:t>
            </w:r>
          </w:p>
        </w:tc>
        <w:tc>
          <w:tcPr>
            <w:tcW w:w="2268" w:type="dxa"/>
            <w:vAlign w:val="center"/>
          </w:tcPr>
          <w:p>
            <w:pPr>
              <w:pStyle w:val="13"/>
            </w:pPr>
            <w:r>
              <w:t>≥1年</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垃圾处理设施运营企业满意度</w:t>
            </w:r>
          </w:p>
        </w:tc>
        <w:tc>
          <w:tcPr>
            <w:tcW w:w="5386" w:type="dxa"/>
            <w:vAlign w:val="center"/>
          </w:tcPr>
          <w:p>
            <w:pPr>
              <w:pStyle w:val="13"/>
            </w:pPr>
            <w:r>
              <w:t>反映垃圾处理设施运营企业员工的满意度</w:t>
            </w:r>
          </w:p>
        </w:tc>
        <w:tc>
          <w:tcPr>
            <w:tcW w:w="2268" w:type="dxa"/>
            <w:vAlign w:val="center"/>
          </w:tcPr>
          <w:p>
            <w:pPr>
              <w:pStyle w:val="13"/>
            </w:pPr>
            <w:r>
              <w:t>≥90%</w:t>
            </w:r>
          </w:p>
        </w:tc>
        <w:tc>
          <w:tcPr>
            <w:tcW w:w="1276" w:type="dxa"/>
            <w:vAlign w:val="center"/>
          </w:tcPr>
          <w:p>
            <w:pPr>
              <w:pStyle w:val="13"/>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39、生活垃圾分类第三方指导测评服务项目绩效目标表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13080025P00002510003Q</w:t>
            </w:r>
          </w:p>
        </w:tc>
        <w:tc>
          <w:tcPr>
            <w:tcW w:w="2835" w:type="dxa"/>
            <w:vAlign w:val="center"/>
          </w:tcPr>
          <w:p>
            <w:pPr>
              <w:pStyle w:val="11"/>
            </w:pPr>
            <w:r>
              <w:t>项目名称</w:t>
            </w:r>
          </w:p>
        </w:tc>
        <w:tc>
          <w:tcPr>
            <w:tcW w:w="6095" w:type="dxa"/>
            <w:gridSpan w:val="3"/>
            <w:vAlign w:val="center"/>
          </w:tcPr>
          <w:p>
            <w:pPr>
              <w:pStyle w:val="13"/>
            </w:pPr>
            <w:r>
              <w:t>生活垃圾分类第三方指导测评服务项目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用于支付生活垃圾分类第三方指导测评服务资金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1.对市区生活垃圾分类工作开展2次指导测评服务，进一步提升生活垃圾分类能力和水平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指导次数</w:t>
            </w:r>
          </w:p>
        </w:tc>
        <w:tc>
          <w:tcPr>
            <w:tcW w:w="5386" w:type="dxa"/>
            <w:vAlign w:val="center"/>
          </w:tcPr>
          <w:p>
            <w:pPr>
              <w:pStyle w:val="13"/>
            </w:pPr>
            <w:r>
              <w:t>每2月对各区开展1次指导服务</w:t>
            </w:r>
          </w:p>
        </w:tc>
        <w:tc>
          <w:tcPr>
            <w:tcW w:w="2268" w:type="dxa"/>
            <w:vAlign w:val="center"/>
          </w:tcPr>
          <w:p>
            <w:pPr>
              <w:pStyle w:val="13"/>
            </w:pPr>
            <w:r>
              <w:t>2次</w:t>
            </w:r>
          </w:p>
        </w:tc>
        <w:tc>
          <w:tcPr>
            <w:tcW w:w="1276" w:type="dxa"/>
            <w:vAlign w:val="center"/>
          </w:tcPr>
          <w:p>
            <w:pPr>
              <w:pStyle w:val="13"/>
            </w:pPr>
            <w:r>
              <w:t>年度工作计划</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测评次数</w:t>
            </w:r>
          </w:p>
        </w:tc>
        <w:tc>
          <w:tcPr>
            <w:tcW w:w="5386" w:type="dxa"/>
            <w:vAlign w:val="center"/>
          </w:tcPr>
          <w:p>
            <w:pPr>
              <w:pStyle w:val="13"/>
            </w:pPr>
            <w:r>
              <w:t>每季对各区进行1次考评。</w:t>
            </w:r>
          </w:p>
        </w:tc>
        <w:tc>
          <w:tcPr>
            <w:tcW w:w="2268" w:type="dxa"/>
            <w:vAlign w:val="center"/>
          </w:tcPr>
          <w:p>
            <w:pPr>
              <w:pStyle w:val="13"/>
            </w:pPr>
            <w:r>
              <w:t>2次</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指导服务完成率</w:t>
            </w:r>
          </w:p>
        </w:tc>
        <w:tc>
          <w:tcPr>
            <w:tcW w:w="5386" w:type="dxa"/>
            <w:vAlign w:val="center"/>
          </w:tcPr>
          <w:p>
            <w:pPr>
              <w:pStyle w:val="13"/>
            </w:pPr>
            <w:r>
              <w:t>反映聘请第三方对垃圾分类服务做出的指导工作的完成率</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测评报告合格率</w:t>
            </w:r>
          </w:p>
        </w:tc>
        <w:tc>
          <w:tcPr>
            <w:tcW w:w="5386" w:type="dxa"/>
            <w:vAlign w:val="center"/>
          </w:tcPr>
          <w:p>
            <w:pPr>
              <w:pStyle w:val="13"/>
            </w:pPr>
            <w:r>
              <w:t>反映第三方垃圾分类测评工作报告的内容的合格率</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测评报告完成时间</w:t>
            </w:r>
          </w:p>
        </w:tc>
        <w:tc>
          <w:tcPr>
            <w:tcW w:w="5386" w:type="dxa"/>
            <w:vAlign w:val="center"/>
          </w:tcPr>
          <w:p>
            <w:pPr>
              <w:pStyle w:val="13"/>
            </w:pPr>
            <w:r>
              <w:t>反映完成测评报告的时间</w:t>
            </w:r>
          </w:p>
        </w:tc>
        <w:tc>
          <w:tcPr>
            <w:tcW w:w="2268" w:type="dxa"/>
            <w:vAlign w:val="center"/>
          </w:tcPr>
          <w:p>
            <w:pPr>
              <w:pStyle w:val="13"/>
            </w:pPr>
            <w:r>
              <w:t>2025年12月31日前</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指导服务完成时间</w:t>
            </w:r>
          </w:p>
        </w:tc>
        <w:tc>
          <w:tcPr>
            <w:tcW w:w="5386" w:type="dxa"/>
            <w:vAlign w:val="center"/>
          </w:tcPr>
          <w:p>
            <w:pPr>
              <w:pStyle w:val="13"/>
            </w:pPr>
            <w:r>
              <w:t>反映完成指导服务的时间</w:t>
            </w:r>
          </w:p>
        </w:tc>
        <w:tc>
          <w:tcPr>
            <w:tcW w:w="2268" w:type="dxa"/>
            <w:vAlign w:val="center"/>
          </w:tcPr>
          <w:p>
            <w:pPr>
              <w:pStyle w:val="13"/>
            </w:pPr>
            <w:r>
              <w:t>2025年12月31日前</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反映控制测评指导所需资金数额</w:t>
            </w:r>
          </w:p>
        </w:tc>
        <w:tc>
          <w:tcPr>
            <w:tcW w:w="2268" w:type="dxa"/>
            <w:vAlign w:val="center"/>
          </w:tcPr>
          <w:p>
            <w:pPr>
              <w:pStyle w:val="13"/>
            </w:pPr>
            <w:r>
              <w:t>≤10万元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较聘请前提升工作效率</w:t>
            </w:r>
          </w:p>
          <w:p>
            <w:pPr>
              <w:pStyle w:val="13"/>
            </w:pPr>
          </w:p>
        </w:tc>
        <w:tc>
          <w:tcPr>
            <w:tcW w:w="5386" w:type="dxa"/>
            <w:vAlign w:val="center"/>
          </w:tcPr>
          <w:p>
            <w:pPr>
              <w:pStyle w:val="13"/>
            </w:pPr>
            <w:r>
              <w:t>反映聘请第三方后测评指导工作提升效率</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提供长期稳定服务</w:t>
            </w:r>
          </w:p>
          <w:p>
            <w:pPr>
              <w:pStyle w:val="13"/>
            </w:pPr>
          </w:p>
        </w:tc>
        <w:tc>
          <w:tcPr>
            <w:tcW w:w="5386" w:type="dxa"/>
            <w:vAlign w:val="center"/>
          </w:tcPr>
          <w:p>
            <w:pPr>
              <w:pStyle w:val="13"/>
            </w:pPr>
            <w:r>
              <w:t>反映第三方机构对各区分类办测评指导工作的持续性</w:t>
            </w:r>
          </w:p>
        </w:tc>
        <w:tc>
          <w:tcPr>
            <w:tcW w:w="2268" w:type="dxa"/>
            <w:vAlign w:val="center"/>
          </w:tcPr>
          <w:p>
            <w:pPr>
              <w:pStyle w:val="13"/>
            </w:pPr>
            <w:r>
              <w:t>≥3年</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各区垃圾分类办的满意度</w:t>
            </w:r>
          </w:p>
        </w:tc>
        <w:tc>
          <w:tcPr>
            <w:tcW w:w="5386" w:type="dxa"/>
            <w:vAlign w:val="center"/>
          </w:tcPr>
          <w:p>
            <w:pPr>
              <w:pStyle w:val="13"/>
            </w:pPr>
            <w:r>
              <w:t>反映各区垃圾分类办工作人员对测评指导工作的满意度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40、石洞子沟输变电工程配套电力管廊工程绩效目标表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13080023P00017410004M</w:t>
            </w:r>
          </w:p>
        </w:tc>
        <w:tc>
          <w:tcPr>
            <w:tcW w:w="2835" w:type="dxa"/>
            <w:vAlign w:val="center"/>
          </w:tcPr>
          <w:p>
            <w:pPr>
              <w:pStyle w:val="11"/>
            </w:pPr>
            <w:r>
              <w:t>项目名称</w:t>
            </w:r>
          </w:p>
        </w:tc>
        <w:tc>
          <w:tcPr>
            <w:tcW w:w="6095" w:type="dxa"/>
            <w:gridSpan w:val="3"/>
            <w:vAlign w:val="center"/>
          </w:tcPr>
          <w:p>
            <w:pPr>
              <w:pStyle w:val="13"/>
            </w:pPr>
            <w:r>
              <w:t>石洞子沟输变电工程配套电力管廊工程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3500.00</w:t>
            </w:r>
          </w:p>
        </w:tc>
        <w:tc>
          <w:tcPr>
            <w:tcW w:w="2835" w:type="dxa"/>
            <w:vAlign w:val="center"/>
          </w:tcPr>
          <w:p>
            <w:pPr>
              <w:pStyle w:val="11"/>
            </w:pPr>
            <w:r>
              <w:t>其中：财政    资金</w:t>
            </w:r>
          </w:p>
        </w:tc>
        <w:tc>
          <w:tcPr>
            <w:tcW w:w="2551" w:type="dxa"/>
            <w:vAlign w:val="center"/>
          </w:tcPr>
          <w:p>
            <w:pPr>
              <w:pStyle w:val="13"/>
            </w:pPr>
            <w:r>
              <w:t>3500.00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用于支付石洞子沟输变电工程配套电力管廊工程的资金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1.2025年度，花费资金3500万元，完成石洞子沟输变电工程配套的10千伏电缆管沟工程，保障用电需求，正常供电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施工位置</w:t>
            </w:r>
          </w:p>
        </w:tc>
        <w:tc>
          <w:tcPr>
            <w:tcW w:w="5386" w:type="dxa"/>
            <w:vAlign w:val="center"/>
          </w:tcPr>
          <w:p>
            <w:pPr>
              <w:pStyle w:val="13"/>
            </w:pPr>
            <w:r>
              <w:t>工程进行的地点数量</w:t>
            </w:r>
          </w:p>
        </w:tc>
        <w:tc>
          <w:tcPr>
            <w:tcW w:w="2268" w:type="dxa"/>
            <w:vAlign w:val="center"/>
          </w:tcPr>
          <w:p>
            <w:pPr>
              <w:pStyle w:val="13"/>
            </w:pPr>
            <w:r>
              <w:t>1个</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工程竣工验收</w:t>
            </w:r>
          </w:p>
        </w:tc>
        <w:tc>
          <w:tcPr>
            <w:tcW w:w="5386" w:type="dxa"/>
            <w:vAlign w:val="center"/>
          </w:tcPr>
          <w:p>
            <w:pPr>
              <w:pStyle w:val="13"/>
            </w:pPr>
            <w:r>
              <w:t>反映工程竣工的验收合格率</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财政年度预算</w:t>
            </w:r>
          </w:p>
        </w:tc>
        <w:tc>
          <w:tcPr>
            <w:tcW w:w="5386" w:type="dxa"/>
            <w:vAlign w:val="center"/>
          </w:tcPr>
          <w:p>
            <w:pPr>
              <w:pStyle w:val="13"/>
            </w:pPr>
            <w:r>
              <w:t>该项目所需预算资金</w:t>
            </w:r>
          </w:p>
        </w:tc>
        <w:tc>
          <w:tcPr>
            <w:tcW w:w="2268" w:type="dxa"/>
            <w:vAlign w:val="center"/>
          </w:tcPr>
          <w:p>
            <w:pPr>
              <w:pStyle w:val="13"/>
            </w:pPr>
            <w:r>
              <w:t>≤3500万元</w:t>
            </w:r>
          </w:p>
        </w:tc>
        <w:tc>
          <w:tcPr>
            <w:tcW w:w="1276" w:type="dxa"/>
            <w:vAlign w:val="center"/>
          </w:tcPr>
          <w:p>
            <w:pPr>
              <w:pStyle w:val="13"/>
            </w:pPr>
            <w:r>
              <w:t>财政预算批复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项目完工时间</w:t>
            </w:r>
          </w:p>
        </w:tc>
        <w:tc>
          <w:tcPr>
            <w:tcW w:w="5386" w:type="dxa"/>
            <w:vAlign w:val="center"/>
          </w:tcPr>
          <w:p>
            <w:pPr>
              <w:pStyle w:val="13"/>
            </w:pPr>
            <w:r>
              <w:t>反映项目竣工验收的时间</w:t>
            </w:r>
          </w:p>
        </w:tc>
        <w:tc>
          <w:tcPr>
            <w:tcW w:w="2268" w:type="dxa"/>
            <w:vAlign w:val="center"/>
          </w:tcPr>
          <w:p>
            <w:pPr>
              <w:pStyle w:val="13"/>
            </w:pPr>
            <w:r>
              <w:t>2025年12月底前完成</w:t>
            </w:r>
          </w:p>
        </w:tc>
        <w:tc>
          <w:tcPr>
            <w:tcW w:w="1276" w:type="dxa"/>
            <w:vAlign w:val="center"/>
          </w:tcPr>
          <w:p>
            <w:pPr>
              <w:pStyle w:val="13"/>
            </w:pPr>
            <w:r>
              <w:t>实际完工日期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持续供电</w:t>
            </w:r>
          </w:p>
        </w:tc>
        <w:tc>
          <w:tcPr>
            <w:tcW w:w="5386" w:type="dxa"/>
            <w:vAlign w:val="center"/>
          </w:tcPr>
          <w:p>
            <w:pPr>
              <w:pStyle w:val="13"/>
            </w:pPr>
            <w:r>
              <w:t>持续对工程范围内区域进行电网供电</w:t>
            </w:r>
          </w:p>
        </w:tc>
        <w:tc>
          <w:tcPr>
            <w:tcW w:w="2268" w:type="dxa"/>
            <w:vAlign w:val="center"/>
          </w:tcPr>
          <w:p>
            <w:pPr>
              <w:pStyle w:val="13"/>
            </w:pPr>
            <w:r>
              <w:t>2年</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提升区域用电水平</w:t>
            </w:r>
          </w:p>
        </w:tc>
        <w:tc>
          <w:tcPr>
            <w:tcW w:w="5386" w:type="dxa"/>
            <w:vAlign w:val="center"/>
          </w:tcPr>
          <w:p>
            <w:pPr>
              <w:pStyle w:val="13"/>
            </w:pPr>
            <w:r>
              <w:t>商户营业的硬件需求加强率</w:t>
            </w:r>
          </w:p>
        </w:tc>
        <w:tc>
          <w:tcPr>
            <w:tcW w:w="2268" w:type="dxa"/>
            <w:vAlign w:val="center"/>
          </w:tcPr>
          <w:p>
            <w:pPr>
              <w:pStyle w:val="13"/>
            </w:pPr>
            <w:r>
              <w:t>≥30%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改造区域所在的居民和商户</w:t>
            </w:r>
          </w:p>
        </w:tc>
        <w:tc>
          <w:tcPr>
            <w:tcW w:w="5386" w:type="dxa"/>
            <w:vAlign w:val="center"/>
          </w:tcPr>
          <w:p>
            <w:pPr>
              <w:pStyle w:val="13"/>
            </w:pPr>
            <w:r>
              <w:t>工程实施区域的居民和商户对电缆工程的满意度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41、市城管局设备更换绩效目标表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13080023P000190100051</w:t>
            </w:r>
          </w:p>
        </w:tc>
        <w:tc>
          <w:tcPr>
            <w:tcW w:w="2835" w:type="dxa"/>
            <w:vAlign w:val="center"/>
          </w:tcPr>
          <w:p>
            <w:pPr>
              <w:pStyle w:val="11"/>
            </w:pPr>
            <w:r>
              <w:t>项目名称</w:t>
            </w:r>
          </w:p>
        </w:tc>
        <w:tc>
          <w:tcPr>
            <w:tcW w:w="6095" w:type="dxa"/>
            <w:gridSpan w:val="3"/>
            <w:vAlign w:val="center"/>
          </w:tcPr>
          <w:p>
            <w:pPr>
              <w:pStyle w:val="13"/>
            </w:pPr>
            <w:r>
              <w:t>市城管局设备更换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w:t>
            </w:r>
          </w:p>
        </w:tc>
        <w:tc>
          <w:tcPr>
            <w:tcW w:w="2835" w:type="dxa"/>
            <w:vAlign w:val="center"/>
          </w:tcPr>
          <w:p>
            <w:pPr>
              <w:pStyle w:val="11"/>
            </w:pPr>
            <w:r>
              <w:t>其中：财政    资金</w:t>
            </w:r>
          </w:p>
        </w:tc>
        <w:tc>
          <w:tcPr>
            <w:tcW w:w="2551" w:type="dxa"/>
            <w:vAlign w:val="center"/>
          </w:tcPr>
          <w:p>
            <w:pPr>
              <w:pStyle w:val="13"/>
            </w:pPr>
            <w:r>
              <w:t>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该资金用于城管局设备更换支付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1.在2025年，支付资金9.5万元，进行局机关设备更换更新，保障职工正常办公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设备更换</w:t>
            </w:r>
          </w:p>
        </w:tc>
        <w:tc>
          <w:tcPr>
            <w:tcW w:w="5386" w:type="dxa"/>
            <w:vAlign w:val="center"/>
          </w:tcPr>
          <w:p>
            <w:pPr>
              <w:pStyle w:val="13"/>
            </w:pPr>
            <w:r>
              <w:t>设备更换数量</w:t>
            </w:r>
          </w:p>
        </w:tc>
        <w:tc>
          <w:tcPr>
            <w:tcW w:w="2268" w:type="dxa"/>
            <w:vAlign w:val="center"/>
          </w:tcPr>
          <w:p>
            <w:pPr>
              <w:pStyle w:val="13"/>
            </w:pPr>
            <w:r>
              <w:t>1台</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更换设备质量</w:t>
            </w:r>
          </w:p>
        </w:tc>
        <w:tc>
          <w:tcPr>
            <w:tcW w:w="5386" w:type="dxa"/>
            <w:vAlign w:val="center"/>
          </w:tcPr>
          <w:p>
            <w:pPr>
              <w:pStyle w:val="13"/>
            </w:pPr>
            <w:r>
              <w:t>新设备合格率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设备更换时间</w:t>
            </w:r>
          </w:p>
        </w:tc>
        <w:tc>
          <w:tcPr>
            <w:tcW w:w="5386" w:type="dxa"/>
            <w:vAlign w:val="center"/>
          </w:tcPr>
          <w:p>
            <w:pPr>
              <w:pStyle w:val="13"/>
            </w:pPr>
            <w:r>
              <w:t>新设备完成更换的时间</w:t>
            </w:r>
          </w:p>
        </w:tc>
        <w:tc>
          <w:tcPr>
            <w:tcW w:w="2268" w:type="dxa"/>
            <w:vAlign w:val="center"/>
          </w:tcPr>
          <w:p>
            <w:pPr>
              <w:pStyle w:val="13"/>
            </w:pPr>
            <w:r>
              <w:t>2025年12月底前完成</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设备总成本</w:t>
            </w:r>
          </w:p>
        </w:tc>
        <w:tc>
          <w:tcPr>
            <w:tcW w:w="5386" w:type="dxa"/>
            <w:vAlign w:val="center"/>
          </w:tcPr>
          <w:p>
            <w:pPr>
              <w:pStyle w:val="13"/>
            </w:pPr>
            <w:r>
              <w:t>设备更换所需资金数额</w:t>
            </w:r>
          </w:p>
        </w:tc>
        <w:tc>
          <w:tcPr>
            <w:tcW w:w="2268" w:type="dxa"/>
            <w:vAlign w:val="center"/>
          </w:tcPr>
          <w:p>
            <w:pPr>
              <w:pStyle w:val="13"/>
            </w:pPr>
            <w:r>
              <w:t>9.5万元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保障正常办公</w:t>
            </w:r>
          </w:p>
        </w:tc>
        <w:tc>
          <w:tcPr>
            <w:tcW w:w="5386" w:type="dxa"/>
            <w:vAlign w:val="center"/>
          </w:tcPr>
          <w:p>
            <w:pPr>
              <w:pStyle w:val="13"/>
            </w:pPr>
            <w:r>
              <w:t>正常办公保障率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机关工作人员的满意度</w:t>
            </w:r>
          </w:p>
        </w:tc>
        <w:tc>
          <w:tcPr>
            <w:tcW w:w="5386" w:type="dxa"/>
            <w:vAlign w:val="center"/>
          </w:tcPr>
          <w:p>
            <w:pPr>
              <w:pStyle w:val="13"/>
            </w:pPr>
            <w:r>
              <w:t>机关工作人员对新设备的满意度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42、市区主干道及重要节点鲜花绿化项目绩效目标表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13080024P00005010006E</w:t>
            </w:r>
          </w:p>
        </w:tc>
        <w:tc>
          <w:tcPr>
            <w:tcW w:w="2835" w:type="dxa"/>
            <w:vAlign w:val="center"/>
          </w:tcPr>
          <w:p>
            <w:pPr>
              <w:pStyle w:val="11"/>
            </w:pPr>
            <w:r>
              <w:t>项目名称</w:t>
            </w:r>
          </w:p>
        </w:tc>
        <w:tc>
          <w:tcPr>
            <w:tcW w:w="6095" w:type="dxa"/>
            <w:gridSpan w:val="3"/>
            <w:vAlign w:val="center"/>
          </w:tcPr>
          <w:p>
            <w:pPr>
              <w:pStyle w:val="13"/>
            </w:pPr>
            <w:r>
              <w:t>市区主干道及重要节点鲜花绿化项目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88.10</w:t>
            </w:r>
          </w:p>
        </w:tc>
        <w:tc>
          <w:tcPr>
            <w:tcW w:w="2835" w:type="dxa"/>
            <w:vAlign w:val="center"/>
          </w:tcPr>
          <w:p>
            <w:pPr>
              <w:pStyle w:val="11"/>
            </w:pPr>
            <w:r>
              <w:t>其中：财政    资金</w:t>
            </w:r>
          </w:p>
        </w:tc>
        <w:tc>
          <w:tcPr>
            <w:tcW w:w="2551" w:type="dxa"/>
            <w:vAlign w:val="center"/>
          </w:tcPr>
          <w:p>
            <w:pPr>
              <w:pStyle w:val="13"/>
            </w:pPr>
            <w:r>
              <w:t>88.10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用于支付市区主干道及重要节点鲜花绿化项目资金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95%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1.立体鲜花绿化项目为每年政府常规性工作，主要在市区主干路、桥体及重要节点进行鲜花摆放，为“五一”、“十一”等重要节日增加节日氛围。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花卉摆放数量</w:t>
            </w:r>
          </w:p>
        </w:tc>
        <w:tc>
          <w:tcPr>
            <w:tcW w:w="5386" w:type="dxa"/>
            <w:vAlign w:val="center"/>
          </w:tcPr>
          <w:p>
            <w:pPr>
              <w:pStyle w:val="13"/>
            </w:pPr>
            <w:r>
              <w:t>实际摆放花卉数量不少于53.8万盆</w:t>
            </w:r>
          </w:p>
        </w:tc>
        <w:tc>
          <w:tcPr>
            <w:tcW w:w="2268" w:type="dxa"/>
            <w:vAlign w:val="center"/>
          </w:tcPr>
          <w:p>
            <w:pPr>
              <w:pStyle w:val="13"/>
            </w:pPr>
            <w:r>
              <w:t>≥53.8万盆</w:t>
            </w:r>
          </w:p>
        </w:tc>
        <w:tc>
          <w:tcPr>
            <w:tcW w:w="1276" w:type="dxa"/>
            <w:vAlign w:val="center"/>
          </w:tcPr>
          <w:p>
            <w:pPr>
              <w:pStyle w:val="13"/>
            </w:pPr>
            <w:r>
              <w:t>合同要求，验收报告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花卉质量合格率</w:t>
            </w:r>
          </w:p>
        </w:tc>
        <w:tc>
          <w:tcPr>
            <w:tcW w:w="5386" w:type="dxa"/>
            <w:vAlign w:val="center"/>
          </w:tcPr>
          <w:p>
            <w:pPr>
              <w:pStyle w:val="13"/>
            </w:pPr>
            <w:r>
              <w:t>实际摆放花卉的质量合格情况</w:t>
            </w:r>
          </w:p>
        </w:tc>
        <w:tc>
          <w:tcPr>
            <w:tcW w:w="2268" w:type="dxa"/>
            <w:vAlign w:val="center"/>
          </w:tcPr>
          <w:p>
            <w:pPr>
              <w:pStyle w:val="13"/>
            </w:pPr>
            <w:r>
              <w:t>100%</w:t>
            </w:r>
          </w:p>
        </w:tc>
        <w:tc>
          <w:tcPr>
            <w:tcW w:w="1276" w:type="dxa"/>
            <w:vAlign w:val="center"/>
          </w:tcPr>
          <w:p>
            <w:pPr>
              <w:pStyle w:val="13"/>
            </w:pPr>
            <w:r>
              <w:t>合同要求，验收报告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花卉摆放完成时间</w:t>
            </w:r>
          </w:p>
        </w:tc>
        <w:tc>
          <w:tcPr>
            <w:tcW w:w="5386" w:type="dxa"/>
            <w:vAlign w:val="center"/>
          </w:tcPr>
          <w:p>
            <w:pPr>
              <w:pStyle w:val="13"/>
            </w:pPr>
            <w:r>
              <w:t>是否按合同要求完成花卉摆放</w:t>
            </w:r>
          </w:p>
        </w:tc>
        <w:tc>
          <w:tcPr>
            <w:tcW w:w="2268" w:type="dxa"/>
            <w:vAlign w:val="center"/>
          </w:tcPr>
          <w:p>
            <w:pPr>
              <w:pStyle w:val="13"/>
            </w:pPr>
            <w:r>
              <w:t>及时</w:t>
            </w:r>
          </w:p>
        </w:tc>
        <w:tc>
          <w:tcPr>
            <w:tcW w:w="1276" w:type="dxa"/>
            <w:vAlign w:val="center"/>
          </w:tcPr>
          <w:p>
            <w:pPr>
              <w:pStyle w:val="13"/>
            </w:pPr>
            <w:r>
              <w:t>合同要求，验收报告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鲜花绿化项目总成本</w:t>
            </w:r>
          </w:p>
        </w:tc>
        <w:tc>
          <w:tcPr>
            <w:tcW w:w="5386" w:type="dxa"/>
            <w:vAlign w:val="center"/>
          </w:tcPr>
          <w:p>
            <w:pPr>
              <w:pStyle w:val="13"/>
            </w:pPr>
            <w:r>
              <w:t>鲜花绿化项目总成本</w:t>
            </w:r>
          </w:p>
        </w:tc>
        <w:tc>
          <w:tcPr>
            <w:tcW w:w="2268" w:type="dxa"/>
            <w:vAlign w:val="center"/>
          </w:tcPr>
          <w:p>
            <w:pPr>
              <w:pStyle w:val="13"/>
            </w:pPr>
            <w:r>
              <w:t>≤200万元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美化环境</w:t>
            </w:r>
          </w:p>
        </w:tc>
        <w:tc>
          <w:tcPr>
            <w:tcW w:w="5386" w:type="dxa"/>
            <w:vAlign w:val="center"/>
          </w:tcPr>
          <w:p>
            <w:pPr>
              <w:pStyle w:val="13"/>
            </w:pPr>
            <w:r>
              <w:t>摆放花卉是否提升环境美化效果</w:t>
            </w:r>
          </w:p>
        </w:tc>
        <w:tc>
          <w:tcPr>
            <w:tcW w:w="2268" w:type="dxa"/>
            <w:vAlign w:val="center"/>
          </w:tcPr>
          <w:p>
            <w:pPr>
              <w:pStyle w:val="13"/>
            </w:pPr>
            <w:r>
              <w:t>效果显著</w:t>
            </w:r>
          </w:p>
        </w:tc>
        <w:tc>
          <w:tcPr>
            <w:tcW w:w="1276"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绿化环境提升</w:t>
            </w:r>
          </w:p>
        </w:tc>
        <w:tc>
          <w:tcPr>
            <w:tcW w:w="5386" w:type="dxa"/>
            <w:vAlign w:val="center"/>
          </w:tcPr>
          <w:p>
            <w:pPr>
              <w:pStyle w:val="13"/>
            </w:pPr>
            <w:r>
              <w:t>摆放花卉是否提升环境绿化效果</w:t>
            </w:r>
          </w:p>
        </w:tc>
        <w:tc>
          <w:tcPr>
            <w:tcW w:w="2268" w:type="dxa"/>
            <w:vAlign w:val="center"/>
          </w:tcPr>
          <w:p>
            <w:pPr>
              <w:pStyle w:val="13"/>
            </w:pPr>
            <w:r>
              <w:t>绿化环境得到提升</w:t>
            </w:r>
          </w:p>
        </w:tc>
        <w:tc>
          <w:tcPr>
            <w:tcW w:w="1276"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持续提升城市环境美化效果</w:t>
            </w:r>
          </w:p>
        </w:tc>
        <w:tc>
          <w:tcPr>
            <w:tcW w:w="5386" w:type="dxa"/>
            <w:vAlign w:val="center"/>
          </w:tcPr>
          <w:p>
            <w:pPr>
              <w:pStyle w:val="13"/>
            </w:pPr>
            <w:r>
              <w:t>花卉摆放时间是否持续提升城市美化效果</w:t>
            </w:r>
          </w:p>
        </w:tc>
        <w:tc>
          <w:tcPr>
            <w:tcW w:w="2268" w:type="dxa"/>
            <w:vAlign w:val="center"/>
          </w:tcPr>
          <w:p>
            <w:pPr>
              <w:pStyle w:val="13"/>
            </w:pPr>
            <w:r>
              <w:t>可持续</w:t>
            </w:r>
          </w:p>
        </w:tc>
        <w:tc>
          <w:tcPr>
            <w:tcW w:w="1276" w:type="dxa"/>
            <w:vAlign w:val="center"/>
          </w:tcPr>
          <w:p>
            <w:pPr>
              <w:pStyle w:val="13"/>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鲜花造景效果群众满意度</w:t>
            </w:r>
          </w:p>
        </w:tc>
        <w:tc>
          <w:tcPr>
            <w:tcW w:w="2268" w:type="dxa"/>
            <w:vAlign w:val="center"/>
          </w:tcPr>
          <w:p>
            <w:pPr>
              <w:pStyle w:val="13"/>
            </w:pPr>
            <w:r>
              <w:t>≥93%</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43、市区主干道及重要节点鲜花绿化项目绩效目标表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13080025P00002710007J</w:t>
            </w:r>
          </w:p>
        </w:tc>
        <w:tc>
          <w:tcPr>
            <w:tcW w:w="2835" w:type="dxa"/>
            <w:vAlign w:val="center"/>
          </w:tcPr>
          <w:p>
            <w:pPr>
              <w:pStyle w:val="11"/>
            </w:pPr>
            <w:r>
              <w:t>项目名称</w:t>
            </w:r>
          </w:p>
        </w:tc>
        <w:tc>
          <w:tcPr>
            <w:tcW w:w="6095" w:type="dxa"/>
            <w:gridSpan w:val="3"/>
            <w:vAlign w:val="center"/>
          </w:tcPr>
          <w:p>
            <w:pPr>
              <w:pStyle w:val="13"/>
            </w:pPr>
            <w:r>
              <w:t>市区主干道及重要节点鲜花绿化项目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w:t>
            </w:r>
          </w:p>
        </w:tc>
        <w:tc>
          <w:tcPr>
            <w:tcW w:w="2835" w:type="dxa"/>
            <w:vAlign w:val="center"/>
          </w:tcPr>
          <w:p>
            <w:pPr>
              <w:pStyle w:val="11"/>
            </w:pPr>
            <w:r>
              <w:t>其中：财政    资金</w:t>
            </w:r>
          </w:p>
        </w:tc>
        <w:tc>
          <w:tcPr>
            <w:tcW w:w="2551" w:type="dxa"/>
            <w:vAlign w:val="center"/>
          </w:tcPr>
          <w:p>
            <w:pPr>
              <w:pStyle w:val="13"/>
            </w:pPr>
            <w:r>
              <w:t>180.00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用于支付市区主干道及重要节点鲜花绿化工程资金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2025年4月、6月、9月底前完成市区内绿地花钵栽花、花坛摆花等任务以及后续养护工作，预计花费180万元，主要在市区主干路、桥体及重要节点进行鲜花摆放，为“五一”、“七一”、“十一”等重要节日增加节日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花卉摆放数量</w:t>
            </w:r>
          </w:p>
        </w:tc>
        <w:tc>
          <w:tcPr>
            <w:tcW w:w="5386" w:type="dxa"/>
            <w:vAlign w:val="center"/>
          </w:tcPr>
          <w:p>
            <w:pPr>
              <w:pStyle w:val="13"/>
            </w:pPr>
            <w:r>
              <w:t>实际摆放花卉数量不少于56万盆</w:t>
            </w:r>
          </w:p>
        </w:tc>
        <w:tc>
          <w:tcPr>
            <w:tcW w:w="2268" w:type="dxa"/>
            <w:vAlign w:val="center"/>
          </w:tcPr>
          <w:p>
            <w:pPr>
              <w:pStyle w:val="13"/>
            </w:pPr>
            <w:r>
              <w:t>≥56万盆</w:t>
            </w:r>
          </w:p>
        </w:tc>
        <w:tc>
          <w:tcPr>
            <w:tcW w:w="1276" w:type="dxa"/>
            <w:vAlign w:val="center"/>
          </w:tcPr>
          <w:p>
            <w:pPr>
              <w:pStyle w:val="13"/>
            </w:pPr>
            <w:r>
              <w:t>合同要求，验收报告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花卉质量合格率</w:t>
            </w:r>
          </w:p>
        </w:tc>
        <w:tc>
          <w:tcPr>
            <w:tcW w:w="5386" w:type="dxa"/>
            <w:vAlign w:val="center"/>
          </w:tcPr>
          <w:p>
            <w:pPr>
              <w:pStyle w:val="13"/>
            </w:pPr>
            <w:r>
              <w:t>实际摆放花卉的质量合格情况</w:t>
            </w:r>
          </w:p>
        </w:tc>
        <w:tc>
          <w:tcPr>
            <w:tcW w:w="2268" w:type="dxa"/>
            <w:vAlign w:val="center"/>
          </w:tcPr>
          <w:p>
            <w:pPr>
              <w:pStyle w:val="13"/>
            </w:pPr>
            <w:r>
              <w:t>100%</w:t>
            </w:r>
          </w:p>
        </w:tc>
        <w:tc>
          <w:tcPr>
            <w:tcW w:w="1276" w:type="dxa"/>
            <w:vAlign w:val="center"/>
          </w:tcPr>
          <w:p>
            <w:pPr>
              <w:pStyle w:val="13"/>
            </w:pPr>
            <w:r>
              <w:t>合同要求，验收报告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花卉摆放完成时间</w:t>
            </w:r>
          </w:p>
        </w:tc>
        <w:tc>
          <w:tcPr>
            <w:tcW w:w="5386" w:type="dxa"/>
            <w:vAlign w:val="center"/>
          </w:tcPr>
          <w:p>
            <w:pPr>
              <w:pStyle w:val="13"/>
            </w:pPr>
            <w:r>
              <w:t>花卉摆放工作如期开展，按时完成</w:t>
            </w:r>
          </w:p>
        </w:tc>
        <w:tc>
          <w:tcPr>
            <w:tcW w:w="2268" w:type="dxa"/>
            <w:vAlign w:val="center"/>
          </w:tcPr>
          <w:p>
            <w:pPr>
              <w:pStyle w:val="13"/>
            </w:pPr>
            <w:r>
              <w:t>2025年4月、6月、9月底前完成</w:t>
            </w:r>
          </w:p>
        </w:tc>
        <w:tc>
          <w:tcPr>
            <w:tcW w:w="1276" w:type="dxa"/>
            <w:vAlign w:val="center"/>
          </w:tcPr>
          <w:p>
            <w:pPr>
              <w:pStyle w:val="13"/>
            </w:pPr>
            <w:r>
              <w:t>合同要求，验收报告</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鲜花绿化项目总成本</w:t>
            </w:r>
          </w:p>
        </w:tc>
        <w:tc>
          <w:tcPr>
            <w:tcW w:w="5386" w:type="dxa"/>
            <w:vAlign w:val="center"/>
          </w:tcPr>
          <w:p>
            <w:pPr>
              <w:pStyle w:val="13"/>
            </w:pPr>
            <w:r>
              <w:t>鲜花绿化项目总成本</w:t>
            </w:r>
          </w:p>
        </w:tc>
        <w:tc>
          <w:tcPr>
            <w:tcW w:w="2268" w:type="dxa"/>
            <w:vAlign w:val="center"/>
          </w:tcPr>
          <w:p>
            <w:pPr>
              <w:pStyle w:val="13"/>
            </w:pPr>
            <w:r>
              <w:t>≤180万元</w:t>
            </w:r>
          </w:p>
        </w:tc>
        <w:tc>
          <w:tcPr>
            <w:tcW w:w="1276" w:type="dxa"/>
            <w:vAlign w:val="center"/>
          </w:tcPr>
          <w:p>
            <w:pPr>
              <w:pStyle w:val="13"/>
            </w:pPr>
            <w:r>
              <w:t>年初预算</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提升氛围，增强幸福感</w:t>
            </w:r>
          </w:p>
        </w:tc>
        <w:tc>
          <w:tcPr>
            <w:tcW w:w="5386" w:type="dxa"/>
            <w:vAlign w:val="center"/>
          </w:tcPr>
          <w:p>
            <w:pPr>
              <w:pStyle w:val="13"/>
            </w:pPr>
            <w:r>
              <w:t>通过栽摆花卉提升市区内节日氛围，增强人民群众幸福感，预计栽摆花卉50万株。</w:t>
            </w:r>
          </w:p>
        </w:tc>
        <w:tc>
          <w:tcPr>
            <w:tcW w:w="2268" w:type="dxa"/>
            <w:vAlign w:val="center"/>
          </w:tcPr>
          <w:p>
            <w:pPr>
              <w:pStyle w:val="13"/>
            </w:pPr>
            <w:r>
              <w:t>有效提升</w:t>
            </w:r>
          </w:p>
        </w:tc>
        <w:tc>
          <w:tcPr>
            <w:tcW w:w="1276" w:type="dxa"/>
            <w:vAlign w:val="center"/>
          </w:tcPr>
          <w:p>
            <w:pPr>
              <w:pStyle w:val="13"/>
            </w:pPr>
            <w:r>
              <w:t>合同要求</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增加品种多样性</w:t>
            </w:r>
          </w:p>
        </w:tc>
        <w:tc>
          <w:tcPr>
            <w:tcW w:w="5386" w:type="dxa"/>
            <w:vAlign w:val="center"/>
          </w:tcPr>
          <w:p>
            <w:pPr>
              <w:pStyle w:val="13"/>
            </w:pPr>
            <w:r>
              <w:t>提升市区内植物花卉品种，丰富物种多样性，预计栽摆花卉品种达20种。</w:t>
            </w:r>
          </w:p>
        </w:tc>
        <w:tc>
          <w:tcPr>
            <w:tcW w:w="2268" w:type="dxa"/>
            <w:vAlign w:val="center"/>
          </w:tcPr>
          <w:p>
            <w:pPr>
              <w:pStyle w:val="13"/>
            </w:pPr>
            <w:r>
              <w:t>显著增加</w:t>
            </w:r>
          </w:p>
        </w:tc>
        <w:tc>
          <w:tcPr>
            <w:tcW w:w="1276" w:type="dxa"/>
            <w:vAlign w:val="center"/>
          </w:tcPr>
          <w:p>
            <w:pPr>
              <w:pStyle w:val="13"/>
            </w:pPr>
            <w:r>
              <w:t>合同要求</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鲜花造景效果群众满意度</w:t>
            </w:r>
          </w:p>
        </w:tc>
        <w:tc>
          <w:tcPr>
            <w:tcW w:w="2268" w:type="dxa"/>
            <w:vAlign w:val="center"/>
          </w:tcPr>
          <w:p>
            <w:pPr>
              <w:pStyle w:val="13"/>
            </w:pPr>
            <w:r>
              <w:t>≥95%</w:t>
            </w:r>
          </w:p>
        </w:tc>
        <w:tc>
          <w:tcPr>
            <w:tcW w:w="1276"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44、市中心城区主要街道线缆入地项目绩效目标表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13080024P000209100059</w:t>
            </w:r>
          </w:p>
        </w:tc>
        <w:tc>
          <w:tcPr>
            <w:tcW w:w="2835" w:type="dxa"/>
            <w:vAlign w:val="center"/>
          </w:tcPr>
          <w:p>
            <w:pPr>
              <w:pStyle w:val="11"/>
            </w:pPr>
            <w:r>
              <w:t>项目名称</w:t>
            </w:r>
          </w:p>
        </w:tc>
        <w:tc>
          <w:tcPr>
            <w:tcW w:w="6095" w:type="dxa"/>
            <w:gridSpan w:val="3"/>
            <w:vAlign w:val="center"/>
          </w:tcPr>
          <w:p>
            <w:pPr>
              <w:pStyle w:val="13"/>
            </w:pPr>
            <w:r>
              <w:t>市中心城区主要街道线缆入地项目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用于支付市中区主要街路节日装点线缆入地项目资金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1.在2024年度，花费400万元，进行线缆入地工作，保障春节装点安全进行。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电缆入地实际使用成本</w:t>
            </w:r>
          </w:p>
        </w:tc>
        <w:tc>
          <w:tcPr>
            <w:tcW w:w="2268" w:type="dxa"/>
            <w:vAlign w:val="center"/>
          </w:tcPr>
          <w:p>
            <w:pPr>
              <w:pStyle w:val="13"/>
            </w:pPr>
            <w:r>
              <w:t>≤400万元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线缆敷设总长度</w:t>
            </w:r>
          </w:p>
        </w:tc>
        <w:tc>
          <w:tcPr>
            <w:tcW w:w="5386" w:type="dxa"/>
            <w:vAlign w:val="center"/>
          </w:tcPr>
          <w:p>
            <w:pPr>
              <w:pStyle w:val="13"/>
            </w:pPr>
            <w:r>
              <w:t>实际线缆敷设总长度</w:t>
            </w:r>
          </w:p>
        </w:tc>
        <w:tc>
          <w:tcPr>
            <w:tcW w:w="2268" w:type="dxa"/>
            <w:vAlign w:val="center"/>
          </w:tcPr>
          <w:p>
            <w:pPr>
              <w:pStyle w:val="13"/>
            </w:pPr>
            <w:r>
              <w:t>40万米</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竣工验收合格率</w:t>
            </w:r>
          </w:p>
        </w:tc>
        <w:tc>
          <w:tcPr>
            <w:tcW w:w="5386" w:type="dxa"/>
            <w:vAlign w:val="center"/>
          </w:tcPr>
          <w:p>
            <w:pPr>
              <w:pStyle w:val="13"/>
            </w:pPr>
            <w:r>
              <w:t>竣工验收情况</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工程竣工时间</w:t>
            </w:r>
          </w:p>
        </w:tc>
        <w:tc>
          <w:tcPr>
            <w:tcW w:w="5386" w:type="dxa"/>
            <w:vAlign w:val="center"/>
          </w:tcPr>
          <w:p>
            <w:pPr>
              <w:pStyle w:val="13"/>
            </w:pPr>
            <w:r>
              <w:t>电缆入地项目验收及时性</w:t>
            </w:r>
          </w:p>
        </w:tc>
        <w:tc>
          <w:tcPr>
            <w:tcW w:w="2268" w:type="dxa"/>
            <w:vAlign w:val="center"/>
          </w:tcPr>
          <w:p>
            <w:pPr>
              <w:pStyle w:val="13"/>
            </w:pPr>
            <w:r>
              <w:t>2024年12月底前完成</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亮化设施安全运行率</w:t>
            </w:r>
          </w:p>
        </w:tc>
        <w:tc>
          <w:tcPr>
            <w:tcW w:w="5386" w:type="dxa"/>
            <w:vAlign w:val="center"/>
          </w:tcPr>
          <w:p>
            <w:pPr>
              <w:pStyle w:val="13"/>
            </w:pPr>
            <w:r>
              <w:t>反映亮化设施安全运行情况</w:t>
            </w:r>
          </w:p>
        </w:tc>
        <w:tc>
          <w:tcPr>
            <w:tcW w:w="2268" w:type="dxa"/>
            <w:vAlign w:val="center"/>
          </w:tcPr>
          <w:p>
            <w:pPr>
              <w:pStyle w:val="13"/>
            </w:pPr>
            <w:r>
              <w:t>≥90%</w:t>
            </w:r>
          </w:p>
        </w:tc>
        <w:tc>
          <w:tcPr>
            <w:tcW w:w="1276" w:type="dxa"/>
            <w:vAlign w:val="center"/>
          </w:tcPr>
          <w:p>
            <w:pPr>
              <w:pStyle w:val="13"/>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设施使用年限</w:t>
            </w:r>
          </w:p>
        </w:tc>
        <w:tc>
          <w:tcPr>
            <w:tcW w:w="5386" w:type="dxa"/>
            <w:vAlign w:val="center"/>
          </w:tcPr>
          <w:p>
            <w:pPr>
              <w:pStyle w:val="13"/>
            </w:pPr>
            <w:r>
              <w:t>实际使用年限</w:t>
            </w:r>
          </w:p>
        </w:tc>
        <w:tc>
          <w:tcPr>
            <w:tcW w:w="2268" w:type="dxa"/>
            <w:vAlign w:val="center"/>
          </w:tcPr>
          <w:p>
            <w:pPr>
              <w:pStyle w:val="13"/>
            </w:pPr>
            <w:r>
              <w:t>≥2年</w:t>
            </w:r>
          </w:p>
        </w:tc>
        <w:tc>
          <w:tcPr>
            <w:tcW w:w="1276" w:type="dxa"/>
            <w:vAlign w:val="center"/>
          </w:tcPr>
          <w:p>
            <w:pPr>
              <w:pStyle w:val="13"/>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社会群众满意度</w:t>
            </w:r>
          </w:p>
        </w:tc>
        <w:tc>
          <w:tcPr>
            <w:tcW w:w="5386" w:type="dxa"/>
            <w:vAlign w:val="center"/>
          </w:tcPr>
          <w:p>
            <w:pPr>
              <w:pStyle w:val="13"/>
            </w:pPr>
            <w:r>
              <w:t>反映群众对线缆入地满意度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45、数字化项目欠款绩效目标表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13080024P000057100014</w:t>
            </w:r>
          </w:p>
        </w:tc>
        <w:tc>
          <w:tcPr>
            <w:tcW w:w="2835" w:type="dxa"/>
            <w:vAlign w:val="center"/>
          </w:tcPr>
          <w:p>
            <w:pPr>
              <w:pStyle w:val="11"/>
            </w:pPr>
            <w:r>
              <w:t>项目名称</w:t>
            </w:r>
          </w:p>
        </w:tc>
        <w:tc>
          <w:tcPr>
            <w:tcW w:w="6095" w:type="dxa"/>
            <w:gridSpan w:val="3"/>
            <w:vAlign w:val="center"/>
          </w:tcPr>
          <w:p>
            <w:pPr>
              <w:pStyle w:val="13"/>
            </w:pPr>
            <w:r>
              <w:t>数字化项目欠款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26.13</w:t>
            </w:r>
          </w:p>
        </w:tc>
        <w:tc>
          <w:tcPr>
            <w:tcW w:w="2835" w:type="dxa"/>
            <w:vAlign w:val="center"/>
          </w:tcPr>
          <w:p>
            <w:pPr>
              <w:pStyle w:val="11"/>
            </w:pPr>
            <w:r>
              <w:t>其中：财政    资金</w:t>
            </w:r>
          </w:p>
        </w:tc>
        <w:tc>
          <w:tcPr>
            <w:tcW w:w="2551" w:type="dxa"/>
            <w:vAlign w:val="center"/>
          </w:tcPr>
          <w:p>
            <w:pPr>
              <w:pStyle w:val="13"/>
            </w:pPr>
            <w:r>
              <w:t>26.13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用于支付数字化项目剩余资金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95%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1.2025年，偿还欠款26.13万元，避免出现纠纷，提高政府公信力。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偿还欠款项目数量</w:t>
            </w:r>
          </w:p>
        </w:tc>
        <w:tc>
          <w:tcPr>
            <w:tcW w:w="5386" w:type="dxa"/>
            <w:vAlign w:val="center"/>
          </w:tcPr>
          <w:p>
            <w:pPr>
              <w:pStyle w:val="13"/>
            </w:pPr>
            <w:r>
              <w:t>反映偿还项目欠款数量</w:t>
            </w:r>
          </w:p>
        </w:tc>
        <w:tc>
          <w:tcPr>
            <w:tcW w:w="2268" w:type="dxa"/>
            <w:vAlign w:val="center"/>
          </w:tcPr>
          <w:p>
            <w:pPr>
              <w:pStyle w:val="13"/>
            </w:pPr>
            <w:r>
              <w:t>1个</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还款准确性</w:t>
            </w:r>
          </w:p>
        </w:tc>
        <w:tc>
          <w:tcPr>
            <w:tcW w:w="5386" w:type="dxa"/>
            <w:vAlign w:val="center"/>
          </w:tcPr>
          <w:p>
            <w:pPr>
              <w:pStyle w:val="13"/>
            </w:pPr>
            <w:r>
              <w:t>还款准确率</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还款及时性</w:t>
            </w:r>
          </w:p>
        </w:tc>
        <w:tc>
          <w:tcPr>
            <w:tcW w:w="5386" w:type="dxa"/>
            <w:vAlign w:val="center"/>
          </w:tcPr>
          <w:p>
            <w:pPr>
              <w:pStyle w:val="13"/>
            </w:pPr>
            <w:r>
              <w:t>反应按时偿还债务时间</w:t>
            </w:r>
          </w:p>
        </w:tc>
        <w:tc>
          <w:tcPr>
            <w:tcW w:w="2268" w:type="dxa"/>
            <w:vAlign w:val="center"/>
          </w:tcPr>
          <w:p>
            <w:pPr>
              <w:pStyle w:val="13"/>
            </w:pPr>
            <w:r>
              <w:t>2025年12月31日前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偿还本金</w:t>
            </w:r>
          </w:p>
        </w:tc>
        <w:tc>
          <w:tcPr>
            <w:tcW w:w="5386" w:type="dxa"/>
            <w:vAlign w:val="center"/>
          </w:tcPr>
          <w:p>
            <w:pPr>
              <w:pStyle w:val="13"/>
            </w:pPr>
            <w:r>
              <w:t>反应还款金额</w:t>
            </w:r>
          </w:p>
        </w:tc>
        <w:tc>
          <w:tcPr>
            <w:tcW w:w="2268" w:type="dxa"/>
            <w:vAlign w:val="center"/>
          </w:tcPr>
          <w:p>
            <w:pPr>
              <w:pStyle w:val="13"/>
            </w:pPr>
            <w:r>
              <w:t>26.13万元</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避免产生经济纠纷</w:t>
            </w:r>
          </w:p>
        </w:tc>
        <w:tc>
          <w:tcPr>
            <w:tcW w:w="5386" w:type="dxa"/>
            <w:vAlign w:val="center"/>
          </w:tcPr>
          <w:p>
            <w:pPr>
              <w:pStyle w:val="13"/>
            </w:pPr>
            <w:r>
              <w:t>社会纠纷事件发生降低率</w:t>
            </w:r>
          </w:p>
        </w:tc>
        <w:tc>
          <w:tcPr>
            <w:tcW w:w="2268" w:type="dxa"/>
            <w:vAlign w:val="center"/>
          </w:tcPr>
          <w:p>
            <w:pPr>
              <w:pStyle w:val="13"/>
            </w:pPr>
            <w:r>
              <w:t>≥50%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提升政府公信力</w:t>
            </w:r>
          </w:p>
        </w:tc>
        <w:tc>
          <w:tcPr>
            <w:tcW w:w="5386" w:type="dxa"/>
            <w:vAlign w:val="center"/>
          </w:tcPr>
          <w:p>
            <w:pPr>
              <w:pStyle w:val="13"/>
            </w:pPr>
            <w:r>
              <w:t>持续提升政府公信力的时间</w:t>
            </w:r>
          </w:p>
        </w:tc>
        <w:tc>
          <w:tcPr>
            <w:tcW w:w="2268" w:type="dxa"/>
            <w:vAlign w:val="center"/>
          </w:tcPr>
          <w:p>
            <w:pPr>
              <w:pStyle w:val="13"/>
            </w:pPr>
            <w:r>
              <w:t>≥2年</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企业对政府还款的满意度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46、污水雨排水设施维护养护绩效目标表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13080025P00001210002W</w:t>
            </w:r>
          </w:p>
        </w:tc>
        <w:tc>
          <w:tcPr>
            <w:tcW w:w="2835" w:type="dxa"/>
            <w:vAlign w:val="center"/>
          </w:tcPr>
          <w:p>
            <w:pPr>
              <w:pStyle w:val="11"/>
            </w:pPr>
            <w:r>
              <w:t>项目名称</w:t>
            </w:r>
          </w:p>
        </w:tc>
        <w:tc>
          <w:tcPr>
            <w:tcW w:w="6095" w:type="dxa"/>
            <w:gridSpan w:val="3"/>
            <w:vAlign w:val="center"/>
          </w:tcPr>
          <w:p>
            <w:pPr>
              <w:pStyle w:val="13"/>
            </w:pPr>
            <w:r>
              <w:t>污水雨排水设施维护养护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用于支付污水雨排水设施维护养护资金</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1.申请2025年度养护资金300万元，对双桥区主干道及两侧人行道雨污水设施日常维护和承德东高速泵站日常维护，确保各项排水设施正常运转。拟建议安排维持上年水平。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双桥区主干道排水设施日常维护</w:t>
            </w:r>
          </w:p>
        </w:tc>
        <w:tc>
          <w:tcPr>
            <w:tcW w:w="5386" w:type="dxa"/>
            <w:vAlign w:val="center"/>
          </w:tcPr>
          <w:p>
            <w:pPr>
              <w:pStyle w:val="13"/>
            </w:pPr>
            <w:r>
              <w:t>双桥区主干道排水设施日常维护</w:t>
            </w:r>
          </w:p>
        </w:tc>
        <w:tc>
          <w:tcPr>
            <w:tcW w:w="2268" w:type="dxa"/>
            <w:vAlign w:val="center"/>
          </w:tcPr>
          <w:p>
            <w:pPr>
              <w:pStyle w:val="13"/>
            </w:pPr>
            <w:r>
              <w:t>214.35公里</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双桥区主干道排水泵站和承德东高速泵站</w:t>
            </w:r>
          </w:p>
        </w:tc>
        <w:tc>
          <w:tcPr>
            <w:tcW w:w="5386" w:type="dxa"/>
            <w:vAlign w:val="center"/>
          </w:tcPr>
          <w:p>
            <w:pPr>
              <w:pStyle w:val="13"/>
            </w:pPr>
            <w:r>
              <w:t>双桥区主干道排水泵站和承德东高速泵站日常维护</w:t>
            </w:r>
          </w:p>
        </w:tc>
        <w:tc>
          <w:tcPr>
            <w:tcW w:w="2268" w:type="dxa"/>
            <w:vAlign w:val="center"/>
          </w:tcPr>
          <w:p>
            <w:pPr>
              <w:pStyle w:val="13"/>
            </w:pPr>
            <w:r>
              <w:t>3座</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设施管网合格率</w:t>
            </w:r>
          </w:p>
        </w:tc>
        <w:tc>
          <w:tcPr>
            <w:tcW w:w="5386" w:type="dxa"/>
            <w:vAlign w:val="center"/>
          </w:tcPr>
          <w:p>
            <w:pPr>
              <w:pStyle w:val="13"/>
            </w:pPr>
            <w:r>
              <w:t>各类设施管网维护合格率</w:t>
            </w:r>
          </w:p>
        </w:tc>
        <w:tc>
          <w:tcPr>
            <w:tcW w:w="2268" w:type="dxa"/>
            <w:vAlign w:val="center"/>
          </w:tcPr>
          <w:p>
            <w:pPr>
              <w:pStyle w:val="13"/>
            </w:pPr>
            <w:r>
              <w:t>100%</w:t>
            </w:r>
          </w:p>
        </w:tc>
        <w:tc>
          <w:tcPr>
            <w:tcW w:w="1276" w:type="dxa"/>
            <w:vAlign w:val="center"/>
          </w:tcPr>
          <w:p>
            <w:pPr>
              <w:pStyle w:val="13"/>
            </w:pPr>
            <w:r>
              <w:t>实际检测结果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按时完成全年各类设施管网维护</w:t>
            </w:r>
          </w:p>
        </w:tc>
        <w:tc>
          <w:tcPr>
            <w:tcW w:w="2268" w:type="dxa"/>
            <w:vAlign w:val="center"/>
          </w:tcPr>
          <w:p>
            <w:pPr>
              <w:pStyle w:val="13"/>
            </w:pPr>
            <w:r>
              <w:t>2025年12月底前</w:t>
            </w:r>
          </w:p>
        </w:tc>
        <w:tc>
          <w:tcPr>
            <w:tcW w:w="1276" w:type="dxa"/>
            <w:vAlign w:val="center"/>
          </w:tcPr>
          <w:p>
            <w:pPr>
              <w:pStyle w:val="13"/>
            </w:pPr>
            <w:r>
              <w:t>实际完成时间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设施维护成本控制</w:t>
            </w:r>
          </w:p>
        </w:tc>
        <w:tc>
          <w:tcPr>
            <w:tcW w:w="5386" w:type="dxa"/>
            <w:vAlign w:val="center"/>
          </w:tcPr>
          <w:p>
            <w:pPr>
              <w:pStyle w:val="13"/>
            </w:pPr>
            <w:r>
              <w:t>设施维护成本控制</w:t>
            </w:r>
          </w:p>
        </w:tc>
        <w:tc>
          <w:tcPr>
            <w:tcW w:w="2268" w:type="dxa"/>
            <w:vAlign w:val="center"/>
          </w:tcPr>
          <w:p>
            <w:pPr>
              <w:pStyle w:val="13"/>
            </w:pPr>
            <w:r>
              <w:t>≤300万元</w:t>
            </w:r>
          </w:p>
        </w:tc>
        <w:tc>
          <w:tcPr>
            <w:tcW w:w="1276"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保质保量完成排水设施维护养护工作</w:t>
            </w:r>
          </w:p>
        </w:tc>
        <w:tc>
          <w:tcPr>
            <w:tcW w:w="5386" w:type="dxa"/>
            <w:vAlign w:val="center"/>
          </w:tcPr>
          <w:p>
            <w:pPr>
              <w:pStyle w:val="13"/>
            </w:pPr>
            <w:r>
              <w:t>保质保量完成排水设施维护养护工作</w:t>
            </w:r>
          </w:p>
        </w:tc>
        <w:tc>
          <w:tcPr>
            <w:tcW w:w="2268" w:type="dxa"/>
            <w:vAlign w:val="center"/>
          </w:tcPr>
          <w:p>
            <w:pPr>
              <w:pStyle w:val="13"/>
            </w:pPr>
            <w:r>
              <w:t>≥95%</w:t>
            </w:r>
          </w:p>
        </w:tc>
        <w:tc>
          <w:tcPr>
            <w:tcW w:w="1276" w:type="dxa"/>
            <w:vAlign w:val="center"/>
          </w:tcPr>
          <w:p>
            <w:pPr>
              <w:pStyle w:val="13"/>
            </w:pPr>
            <w:r>
              <w:t>完工实际效果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能够长期稳定保障泵站设施正常工作运转</w:t>
            </w:r>
          </w:p>
        </w:tc>
        <w:tc>
          <w:tcPr>
            <w:tcW w:w="5386" w:type="dxa"/>
            <w:vAlign w:val="center"/>
          </w:tcPr>
          <w:p>
            <w:pPr>
              <w:pStyle w:val="13"/>
            </w:pPr>
            <w:r>
              <w:t>泵站设施运行正常平稳</w:t>
            </w:r>
          </w:p>
        </w:tc>
        <w:tc>
          <w:tcPr>
            <w:tcW w:w="2268" w:type="dxa"/>
            <w:vAlign w:val="center"/>
          </w:tcPr>
          <w:p>
            <w:pPr>
              <w:pStyle w:val="13"/>
            </w:pPr>
            <w:r>
              <w:t>1年</w:t>
            </w:r>
          </w:p>
        </w:tc>
        <w:tc>
          <w:tcPr>
            <w:tcW w:w="1276" w:type="dxa"/>
            <w:vAlign w:val="center"/>
          </w:tcPr>
          <w:p>
            <w:pPr>
              <w:pStyle w:val="13"/>
            </w:pPr>
            <w:r>
              <w:t>完工实际效果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社会公众满意程度</w:t>
            </w:r>
          </w:p>
        </w:tc>
        <w:tc>
          <w:tcPr>
            <w:tcW w:w="5386" w:type="dxa"/>
            <w:vAlign w:val="center"/>
          </w:tcPr>
          <w:p>
            <w:pPr>
              <w:pStyle w:val="13"/>
            </w:pPr>
            <w:r>
              <w:t>反映社会公众对污水雨排水设施维护养护的满意程度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47、污水雨排水设施维护养护项目（调整）绩效目标表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13080024P00018610004N</w:t>
            </w:r>
          </w:p>
        </w:tc>
        <w:tc>
          <w:tcPr>
            <w:tcW w:w="2835" w:type="dxa"/>
            <w:vAlign w:val="center"/>
          </w:tcPr>
          <w:p>
            <w:pPr>
              <w:pStyle w:val="11"/>
            </w:pPr>
            <w:r>
              <w:t>项目名称</w:t>
            </w:r>
          </w:p>
        </w:tc>
        <w:tc>
          <w:tcPr>
            <w:tcW w:w="6095" w:type="dxa"/>
            <w:gridSpan w:val="3"/>
            <w:vAlign w:val="center"/>
          </w:tcPr>
          <w:p>
            <w:pPr>
              <w:pStyle w:val="13"/>
            </w:pPr>
            <w:r>
              <w:t>污水雨排水设施维护养护项目（调整）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76.40</w:t>
            </w:r>
          </w:p>
        </w:tc>
        <w:tc>
          <w:tcPr>
            <w:tcW w:w="2835" w:type="dxa"/>
            <w:vAlign w:val="center"/>
          </w:tcPr>
          <w:p>
            <w:pPr>
              <w:pStyle w:val="11"/>
            </w:pPr>
            <w:r>
              <w:t>其中：财政    资金</w:t>
            </w:r>
          </w:p>
        </w:tc>
        <w:tc>
          <w:tcPr>
            <w:tcW w:w="2551" w:type="dxa"/>
            <w:vAlign w:val="center"/>
          </w:tcPr>
          <w:p>
            <w:pPr>
              <w:pStyle w:val="13"/>
            </w:pPr>
            <w:r>
              <w:t>76.40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用于支付污水雨排水设施维护养护工程资金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1.在2024年12月底前，投入206.4045万元，完成双桥区主干道及两侧人行道雨污水设施日常维护和承德东高速泵站日常维护工作，保障城市排石工作正常进行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双桥区主干道排水设施日常维护</w:t>
            </w:r>
          </w:p>
        </w:tc>
        <w:tc>
          <w:tcPr>
            <w:tcW w:w="5386" w:type="dxa"/>
            <w:vAlign w:val="center"/>
          </w:tcPr>
          <w:p>
            <w:pPr>
              <w:pStyle w:val="13"/>
            </w:pPr>
            <w:r>
              <w:t>双桥区主干道排水设施日常维护距离</w:t>
            </w:r>
          </w:p>
        </w:tc>
        <w:tc>
          <w:tcPr>
            <w:tcW w:w="2268" w:type="dxa"/>
            <w:vAlign w:val="center"/>
          </w:tcPr>
          <w:p>
            <w:pPr>
              <w:pStyle w:val="13"/>
            </w:pPr>
            <w:r>
              <w:t>214.5公里</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双桥区主干道排水泵站</w:t>
            </w:r>
          </w:p>
        </w:tc>
        <w:tc>
          <w:tcPr>
            <w:tcW w:w="5386" w:type="dxa"/>
            <w:vAlign w:val="center"/>
          </w:tcPr>
          <w:p>
            <w:pPr>
              <w:pStyle w:val="13"/>
            </w:pPr>
            <w:r>
              <w:t>双桥区主干道排水泵站数量</w:t>
            </w:r>
          </w:p>
        </w:tc>
        <w:tc>
          <w:tcPr>
            <w:tcW w:w="2268" w:type="dxa"/>
            <w:vAlign w:val="center"/>
          </w:tcPr>
          <w:p>
            <w:pPr>
              <w:pStyle w:val="13"/>
            </w:pPr>
            <w:r>
              <w:t>2座</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承德东高速泵站</w:t>
            </w:r>
          </w:p>
        </w:tc>
        <w:tc>
          <w:tcPr>
            <w:tcW w:w="5386" w:type="dxa"/>
            <w:vAlign w:val="center"/>
          </w:tcPr>
          <w:p>
            <w:pPr>
              <w:pStyle w:val="13"/>
            </w:pPr>
            <w:r>
              <w:t>承德东高速泵站日常维护</w:t>
            </w:r>
          </w:p>
        </w:tc>
        <w:tc>
          <w:tcPr>
            <w:tcW w:w="2268" w:type="dxa"/>
            <w:vAlign w:val="center"/>
          </w:tcPr>
          <w:p>
            <w:pPr>
              <w:pStyle w:val="13"/>
            </w:pPr>
            <w:r>
              <w:t>1座</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项目维护时间范围</w:t>
            </w:r>
          </w:p>
        </w:tc>
        <w:tc>
          <w:tcPr>
            <w:tcW w:w="5386" w:type="dxa"/>
            <w:vAlign w:val="center"/>
          </w:tcPr>
          <w:p>
            <w:pPr>
              <w:pStyle w:val="13"/>
            </w:pPr>
            <w:r>
              <w:t>2024年内完成各类设施管网维护养护</w:t>
            </w:r>
          </w:p>
        </w:tc>
        <w:tc>
          <w:tcPr>
            <w:tcW w:w="2268" w:type="dxa"/>
            <w:vAlign w:val="center"/>
          </w:tcPr>
          <w:p>
            <w:pPr>
              <w:pStyle w:val="13"/>
            </w:pPr>
            <w:r>
              <w:t>1年</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设施维护成本控制</w:t>
            </w:r>
          </w:p>
        </w:tc>
        <w:tc>
          <w:tcPr>
            <w:tcW w:w="5386" w:type="dxa"/>
            <w:vAlign w:val="center"/>
          </w:tcPr>
          <w:p>
            <w:pPr>
              <w:pStyle w:val="13"/>
            </w:pPr>
            <w:r>
              <w:t>设施维护成本控制</w:t>
            </w:r>
          </w:p>
        </w:tc>
        <w:tc>
          <w:tcPr>
            <w:tcW w:w="2268" w:type="dxa"/>
            <w:vAlign w:val="center"/>
          </w:tcPr>
          <w:p>
            <w:pPr>
              <w:pStyle w:val="13"/>
            </w:pPr>
            <w:r>
              <w:t>206.4万元</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设施管网合格率</w:t>
            </w:r>
          </w:p>
        </w:tc>
        <w:tc>
          <w:tcPr>
            <w:tcW w:w="5386" w:type="dxa"/>
            <w:vAlign w:val="center"/>
          </w:tcPr>
          <w:p>
            <w:pPr>
              <w:pStyle w:val="13"/>
            </w:pPr>
            <w:r>
              <w:t>各类设施管网排水顺畅合格率</w:t>
            </w:r>
          </w:p>
        </w:tc>
        <w:tc>
          <w:tcPr>
            <w:tcW w:w="2268" w:type="dxa"/>
            <w:vAlign w:val="center"/>
          </w:tcPr>
          <w:p>
            <w:pPr>
              <w:pStyle w:val="13"/>
            </w:pPr>
            <w:r>
              <w:t>100%</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排水设施完好</w:t>
            </w:r>
          </w:p>
        </w:tc>
        <w:tc>
          <w:tcPr>
            <w:tcW w:w="5386" w:type="dxa"/>
            <w:vAlign w:val="center"/>
          </w:tcPr>
          <w:p>
            <w:pPr>
              <w:pStyle w:val="13"/>
            </w:pPr>
            <w:r>
              <w:t>排水设施功能完善率</w:t>
            </w:r>
          </w:p>
        </w:tc>
        <w:tc>
          <w:tcPr>
            <w:tcW w:w="2268" w:type="dxa"/>
            <w:vAlign w:val="center"/>
          </w:tcPr>
          <w:p>
            <w:pPr>
              <w:pStyle w:val="13"/>
            </w:pPr>
            <w:r>
              <w:t>≥95%</w:t>
            </w:r>
          </w:p>
        </w:tc>
        <w:tc>
          <w:tcPr>
            <w:tcW w:w="1276" w:type="dxa"/>
            <w:vAlign w:val="center"/>
          </w:tcPr>
          <w:p>
            <w:pPr>
              <w:pStyle w:val="13"/>
            </w:pPr>
            <w:r>
              <w:t>实际完成效果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泵站设施运行正常平稳</w:t>
            </w:r>
          </w:p>
        </w:tc>
        <w:tc>
          <w:tcPr>
            <w:tcW w:w="5386" w:type="dxa"/>
            <w:vAlign w:val="center"/>
          </w:tcPr>
          <w:p>
            <w:pPr>
              <w:pStyle w:val="13"/>
            </w:pPr>
            <w:r>
              <w:t>泵站设施工作时间运行正常平稳率</w:t>
            </w:r>
          </w:p>
        </w:tc>
        <w:tc>
          <w:tcPr>
            <w:tcW w:w="2268" w:type="dxa"/>
            <w:vAlign w:val="center"/>
          </w:tcPr>
          <w:p>
            <w:pPr>
              <w:pStyle w:val="13"/>
            </w:pPr>
            <w:r>
              <w:t>≥98%</w:t>
            </w:r>
          </w:p>
        </w:tc>
        <w:tc>
          <w:tcPr>
            <w:tcW w:w="1276" w:type="dxa"/>
            <w:vAlign w:val="center"/>
          </w:tcPr>
          <w:p>
            <w:pPr>
              <w:pStyle w:val="13"/>
            </w:pPr>
            <w:r>
              <w:t>实际完成效果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实际调查结果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48、污水雨排水设施应急抢修绩效目标表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13080025P00003010003K</w:t>
            </w:r>
          </w:p>
        </w:tc>
        <w:tc>
          <w:tcPr>
            <w:tcW w:w="2835" w:type="dxa"/>
            <w:vAlign w:val="center"/>
          </w:tcPr>
          <w:p>
            <w:pPr>
              <w:pStyle w:val="11"/>
            </w:pPr>
            <w:r>
              <w:t>项目名称</w:t>
            </w:r>
          </w:p>
        </w:tc>
        <w:tc>
          <w:tcPr>
            <w:tcW w:w="6095" w:type="dxa"/>
            <w:gridSpan w:val="3"/>
            <w:vAlign w:val="center"/>
          </w:tcPr>
          <w:p>
            <w:pPr>
              <w:pStyle w:val="13"/>
            </w:pPr>
            <w:r>
              <w:t>污水雨排水设施应急抢修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用于支付污水雨排水设施应急抢修资金</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49、武烈河沿岸步行系统功能照明完善及沿岸节点改造项目绩效目标表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13080023P00012510003K</w:t>
            </w:r>
          </w:p>
        </w:tc>
        <w:tc>
          <w:tcPr>
            <w:tcW w:w="2835" w:type="dxa"/>
            <w:vAlign w:val="center"/>
          </w:tcPr>
          <w:p>
            <w:pPr>
              <w:pStyle w:val="11"/>
            </w:pPr>
            <w:r>
              <w:t>项目名称</w:t>
            </w:r>
          </w:p>
        </w:tc>
        <w:tc>
          <w:tcPr>
            <w:tcW w:w="6095" w:type="dxa"/>
            <w:gridSpan w:val="3"/>
            <w:vAlign w:val="center"/>
          </w:tcPr>
          <w:p>
            <w:pPr>
              <w:pStyle w:val="13"/>
            </w:pPr>
            <w:r>
              <w:t>武烈河沿岸步行系统功能照明完善及沿岸节点改造项目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79.44</w:t>
            </w:r>
          </w:p>
        </w:tc>
        <w:tc>
          <w:tcPr>
            <w:tcW w:w="2835" w:type="dxa"/>
            <w:vAlign w:val="center"/>
          </w:tcPr>
          <w:p>
            <w:pPr>
              <w:pStyle w:val="11"/>
            </w:pPr>
            <w:r>
              <w:t>其中：财政    资金</w:t>
            </w:r>
          </w:p>
        </w:tc>
        <w:tc>
          <w:tcPr>
            <w:tcW w:w="2551" w:type="dxa"/>
            <w:vAlign w:val="center"/>
          </w:tcPr>
          <w:p>
            <w:pPr>
              <w:pStyle w:val="13"/>
            </w:pPr>
            <w:r>
              <w:t>79.44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用于支付武烈河步行系统照明及及沿边节点改造工程工程款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50、武烈河沿岸基础设施视频监控项目绩效目标表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13080023P00012410004H</w:t>
            </w:r>
          </w:p>
        </w:tc>
        <w:tc>
          <w:tcPr>
            <w:tcW w:w="2835" w:type="dxa"/>
            <w:vAlign w:val="center"/>
          </w:tcPr>
          <w:p>
            <w:pPr>
              <w:pStyle w:val="11"/>
            </w:pPr>
            <w:r>
              <w:t>项目名称</w:t>
            </w:r>
          </w:p>
        </w:tc>
        <w:tc>
          <w:tcPr>
            <w:tcW w:w="6095" w:type="dxa"/>
            <w:gridSpan w:val="3"/>
            <w:vAlign w:val="center"/>
          </w:tcPr>
          <w:p>
            <w:pPr>
              <w:pStyle w:val="13"/>
            </w:pPr>
            <w:r>
              <w:t>武烈河沿岸基础设施视频监控项目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107.37</w:t>
            </w:r>
          </w:p>
        </w:tc>
        <w:tc>
          <w:tcPr>
            <w:tcW w:w="2835" w:type="dxa"/>
            <w:vAlign w:val="center"/>
          </w:tcPr>
          <w:p>
            <w:pPr>
              <w:pStyle w:val="11"/>
            </w:pPr>
            <w:r>
              <w:t>其中：财政    资金</w:t>
            </w:r>
          </w:p>
        </w:tc>
        <w:tc>
          <w:tcPr>
            <w:tcW w:w="2551" w:type="dxa"/>
            <w:vAlign w:val="center"/>
          </w:tcPr>
          <w:p>
            <w:pPr>
              <w:pStyle w:val="13"/>
            </w:pPr>
            <w:r>
              <w:t>107.37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用于支付武烈河沿岸视频监控项目资金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51、中心城区绿地遥感调查绩效目标表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13080024P000028100091</w:t>
            </w:r>
          </w:p>
        </w:tc>
        <w:tc>
          <w:tcPr>
            <w:tcW w:w="2835" w:type="dxa"/>
            <w:vAlign w:val="center"/>
          </w:tcPr>
          <w:p>
            <w:pPr>
              <w:pStyle w:val="11"/>
            </w:pPr>
            <w:r>
              <w:t>项目名称</w:t>
            </w:r>
          </w:p>
        </w:tc>
        <w:tc>
          <w:tcPr>
            <w:tcW w:w="6095" w:type="dxa"/>
            <w:gridSpan w:val="3"/>
            <w:vAlign w:val="center"/>
          </w:tcPr>
          <w:p>
            <w:pPr>
              <w:pStyle w:val="13"/>
            </w:pPr>
            <w:r>
              <w:t>中心城区绿地遥感调查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用于支付中心城区绿地遥感调查资金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95%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52、中心城区绿地遥感调查尾款绩效目标表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13080025P000028100078</w:t>
            </w:r>
          </w:p>
        </w:tc>
        <w:tc>
          <w:tcPr>
            <w:tcW w:w="2835" w:type="dxa"/>
            <w:vAlign w:val="center"/>
          </w:tcPr>
          <w:p>
            <w:pPr>
              <w:pStyle w:val="11"/>
            </w:pPr>
            <w:r>
              <w:t>项目名称</w:t>
            </w:r>
          </w:p>
        </w:tc>
        <w:tc>
          <w:tcPr>
            <w:tcW w:w="6095" w:type="dxa"/>
            <w:gridSpan w:val="3"/>
            <w:vAlign w:val="center"/>
          </w:tcPr>
          <w:p>
            <w:pPr>
              <w:pStyle w:val="13"/>
            </w:pPr>
            <w:r>
              <w:t>中心城区绿地遥感调查尾款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8.95</w:t>
            </w:r>
          </w:p>
        </w:tc>
        <w:tc>
          <w:tcPr>
            <w:tcW w:w="2835" w:type="dxa"/>
            <w:vAlign w:val="center"/>
          </w:tcPr>
          <w:p>
            <w:pPr>
              <w:pStyle w:val="11"/>
            </w:pPr>
            <w:r>
              <w:t>其中：财政    资金</w:t>
            </w:r>
          </w:p>
        </w:tc>
        <w:tc>
          <w:tcPr>
            <w:tcW w:w="2551" w:type="dxa"/>
            <w:vAlign w:val="center"/>
          </w:tcPr>
          <w:p>
            <w:pPr>
              <w:pStyle w:val="13"/>
            </w:pPr>
            <w:r>
              <w:t>8.95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用于支付中心城区绿地遥感调查尾款资金</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53、主城区宣传标语规范提升项目绩效目标表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13080023P00017510004B</w:t>
            </w:r>
          </w:p>
        </w:tc>
        <w:tc>
          <w:tcPr>
            <w:tcW w:w="2835" w:type="dxa"/>
            <w:vAlign w:val="center"/>
          </w:tcPr>
          <w:p>
            <w:pPr>
              <w:pStyle w:val="11"/>
            </w:pPr>
            <w:r>
              <w:t>项目名称</w:t>
            </w:r>
          </w:p>
        </w:tc>
        <w:tc>
          <w:tcPr>
            <w:tcW w:w="6095" w:type="dxa"/>
            <w:gridSpan w:val="3"/>
            <w:vAlign w:val="center"/>
          </w:tcPr>
          <w:p>
            <w:pPr>
              <w:pStyle w:val="13"/>
            </w:pPr>
            <w:r>
              <w:t>主城区宣传标语规范提升项目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109.17</w:t>
            </w:r>
          </w:p>
        </w:tc>
        <w:tc>
          <w:tcPr>
            <w:tcW w:w="2835" w:type="dxa"/>
            <w:vAlign w:val="center"/>
          </w:tcPr>
          <w:p>
            <w:pPr>
              <w:pStyle w:val="11"/>
            </w:pPr>
            <w:r>
              <w:t>其中：财政    资金</w:t>
            </w:r>
          </w:p>
        </w:tc>
        <w:tc>
          <w:tcPr>
            <w:tcW w:w="2551" w:type="dxa"/>
            <w:vAlign w:val="center"/>
          </w:tcPr>
          <w:p>
            <w:pPr>
              <w:pStyle w:val="13"/>
            </w:pPr>
            <w:r>
              <w:t>109.17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用于支付主城区宣传标语规范提升项目资金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474承德市城市管理综合行政执法局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1804.04</w:t>
            </w:r>
          </w:p>
        </w:tc>
        <w:tc>
          <w:tcPr>
            <w:tcW w:w="964" w:type="dxa"/>
            <w:vAlign w:val="center"/>
          </w:tcPr>
          <w:p>
            <w:pPr>
              <w:pStyle w:val="16"/>
            </w:pPr>
            <w:r>
              <w:t>1057.04</w:t>
            </w:r>
          </w:p>
        </w:tc>
        <w:tc>
          <w:tcPr>
            <w:tcW w:w="964" w:type="dxa"/>
            <w:vAlign w:val="center"/>
          </w:tcPr>
          <w:p>
            <w:pPr>
              <w:pStyle w:val="16"/>
            </w:pPr>
            <w:r>
              <w:t>747.00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1804.04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承德市城市管理综合行政执法局本级小计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1801.94</w:t>
            </w:r>
          </w:p>
        </w:tc>
        <w:tc>
          <w:tcPr>
            <w:tcW w:w="964" w:type="dxa"/>
            <w:vAlign w:val="center"/>
          </w:tcPr>
          <w:p>
            <w:pPr>
              <w:pStyle w:val="16"/>
            </w:pPr>
            <w:r>
              <w:t>1054.94</w:t>
            </w:r>
          </w:p>
        </w:tc>
        <w:tc>
          <w:tcPr>
            <w:tcW w:w="964" w:type="dxa"/>
            <w:vAlign w:val="center"/>
          </w:tcPr>
          <w:p>
            <w:pPr>
              <w:pStyle w:val="16"/>
            </w:pPr>
            <w:r>
              <w:t>747.00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1801.94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40.40</w:t>
            </w:r>
          </w:p>
        </w:tc>
        <w:tc>
          <w:tcPr>
            <w:tcW w:w="1134" w:type="dxa"/>
            <w:vAlign w:val="center"/>
          </w:tcPr>
          <w:p>
            <w:pPr>
              <w:pStyle w:val="13"/>
            </w:pPr>
            <w:r>
              <w:t>其他车辆维修和保养服务</w:t>
            </w:r>
          </w:p>
        </w:tc>
        <w:tc>
          <w:tcPr>
            <w:tcW w:w="1134" w:type="dxa"/>
            <w:vAlign w:val="center"/>
          </w:tcPr>
          <w:p>
            <w:pPr>
              <w:pStyle w:val="13"/>
            </w:pPr>
            <w:r>
              <w:t>C23120399</w:t>
            </w:r>
          </w:p>
        </w:tc>
        <w:tc>
          <w:tcPr>
            <w:tcW w:w="709" w:type="dxa"/>
            <w:vAlign w:val="center"/>
          </w:tcPr>
          <w:p>
            <w:pPr>
              <w:pStyle w:val="14"/>
            </w:pPr>
            <w:r>
              <w:t>万元/项</w:t>
            </w:r>
          </w:p>
        </w:tc>
        <w:tc>
          <w:tcPr>
            <w:tcW w:w="850" w:type="dxa"/>
            <w:vAlign w:val="center"/>
          </w:tcPr>
          <w:p>
            <w:pPr>
              <w:pStyle w:val="12"/>
            </w:pPr>
            <w:r>
              <w:t>1</w:t>
            </w:r>
          </w:p>
        </w:tc>
        <w:tc>
          <w:tcPr>
            <w:tcW w:w="850" w:type="dxa"/>
            <w:vAlign w:val="center"/>
          </w:tcPr>
          <w:p>
            <w:pPr>
              <w:pStyle w:val="12"/>
            </w:pPr>
            <w:r>
              <w:t>14.70</w:t>
            </w:r>
          </w:p>
        </w:tc>
        <w:tc>
          <w:tcPr>
            <w:tcW w:w="964" w:type="dxa"/>
            <w:vAlign w:val="center"/>
          </w:tcPr>
          <w:p>
            <w:pPr>
              <w:pStyle w:val="12"/>
            </w:pPr>
            <w:r>
              <w:t>14.70</w:t>
            </w:r>
          </w:p>
        </w:tc>
        <w:tc>
          <w:tcPr>
            <w:tcW w:w="964" w:type="dxa"/>
            <w:vAlign w:val="center"/>
          </w:tcPr>
          <w:p>
            <w:pPr>
              <w:pStyle w:val="12"/>
            </w:pPr>
            <w:r>
              <w:t>14.70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2025年承德市燃气安全托管项目</w:t>
            </w:r>
          </w:p>
        </w:tc>
        <w:tc>
          <w:tcPr>
            <w:tcW w:w="964" w:type="dxa"/>
            <w:vAlign w:val="center"/>
          </w:tcPr>
          <w:p>
            <w:pPr>
              <w:pStyle w:val="12"/>
            </w:pPr>
            <w:r>
              <w:t>54.00</w:t>
            </w:r>
          </w:p>
        </w:tc>
        <w:tc>
          <w:tcPr>
            <w:tcW w:w="1134" w:type="dxa"/>
            <w:vAlign w:val="center"/>
          </w:tcPr>
          <w:p>
            <w:pPr>
              <w:pStyle w:val="13"/>
            </w:pPr>
            <w:r>
              <w:t>公共安全服务</w:t>
            </w:r>
          </w:p>
        </w:tc>
        <w:tc>
          <w:tcPr>
            <w:tcW w:w="1134" w:type="dxa"/>
            <w:vAlign w:val="center"/>
          </w:tcPr>
          <w:p>
            <w:pPr>
              <w:pStyle w:val="13"/>
            </w:pPr>
            <w:r>
              <w:t>C05040100</w:t>
            </w:r>
          </w:p>
        </w:tc>
        <w:tc>
          <w:tcPr>
            <w:tcW w:w="709" w:type="dxa"/>
            <w:vAlign w:val="center"/>
          </w:tcPr>
          <w:p>
            <w:pPr>
              <w:pStyle w:val="14"/>
            </w:pPr>
            <w:r>
              <w:t>万元/项</w:t>
            </w:r>
          </w:p>
        </w:tc>
        <w:tc>
          <w:tcPr>
            <w:tcW w:w="850" w:type="dxa"/>
            <w:vAlign w:val="center"/>
          </w:tcPr>
          <w:p>
            <w:pPr>
              <w:pStyle w:val="12"/>
            </w:pPr>
            <w:r>
              <w:t>1</w:t>
            </w:r>
          </w:p>
        </w:tc>
        <w:tc>
          <w:tcPr>
            <w:tcW w:w="850" w:type="dxa"/>
            <w:vAlign w:val="center"/>
          </w:tcPr>
          <w:p>
            <w:pPr>
              <w:pStyle w:val="12"/>
            </w:pPr>
            <w:r>
              <w:t>54.00</w:t>
            </w:r>
          </w:p>
        </w:tc>
        <w:tc>
          <w:tcPr>
            <w:tcW w:w="964" w:type="dxa"/>
            <w:vAlign w:val="center"/>
          </w:tcPr>
          <w:p>
            <w:pPr>
              <w:pStyle w:val="12"/>
            </w:pPr>
            <w:r>
              <w:t>54.00</w:t>
            </w:r>
          </w:p>
        </w:tc>
        <w:tc>
          <w:tcPr>
            <w:tcW w:w="964" w:type="dxa"/>
            <w:vAlign w:val="center"/>
          </w:tcPr>
          <w:p>
            <w:pPr>
              <w:pStyle w:val="12"/>
            </w:pPr>
            <w:r>
              <w:t>54.00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城管局运行经费</w:t>
            </w:r>
          </w:p>
        </w:tc>
        <w:tc>
          <w:tcPr>
            <w:tcW w:w="964" w:type="dxa"/>
            <w:vAlign w:val="center"/>
          </w:tcPr>
          <w:p>
            <w:pPr>
              <w:pStyle w:val="12"/>
            </w:pPr>
            <w:r>
              <w:t>90.00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万元</w:t>
            </w:r>
          </w:p>
        </w:tc>
        <w:tc>
          <w:tcPr>
            <w:tcW w:w="850" w:type="dxa"/>
            <w:vAlign w:val="center"/>
          </w:tcPr>
          <w:p>
            <w:pPr>
              <w:pStyle w:val="12"/>
            </w:pPr>
            <w:r>
              <w:t>2</w:t>
            </w:r>
          </w:p>
        </w:tc>
        <w:tc>
          <w:tcPr>
            <w:tcW w:w="850" w:type="dxa"/>
            <w:vAlign w:val="center"/>
          </w:tcPr>
          <w:p>
            <w:pPr>
              <w:pStyle w:val="12"/>
            </w:pPr>
            <w:r>
              <w:t>0.48</w:t>
            </w:r>
          </w:p>
        </w:tc>
        <w:tc>
          <w:tcPr>
            <w:tcW w:w="964" w:type="dxa"/>
            <w:vAlign w:val="center"/>
          </w:tcPr>
          <w:p>
            <w:pPr>
              <w:pStyle w:val="12"/>
            </w:pPr>
            <w:r>
              <w:t>0.96</w:t>
            </w:r>
          </w:p>
        </w:tc>
        <w:tc>
          <w:tcPr>
            <w:tcW w:w="964" w:type="dxa"/>
            <w:vAlign w:val="center"/>
          </w:tcPr>
          <w:p>
            <w:pPr>
              <w:pStyle w:val="12"/>
            </w:pPr>
            <w:r>
              <w:t>0.96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城管局运行经费</w:t>
            </w:r>
          </w:p>
        </w:tc>
        <w:tc>
          <w:tcPr>
            <w:tcW w:w="964" w:type="dxa"/>
            <w:vAlign w:val="center"/>
          </w:tcPr>
          <w:p>
            <w:pPr>
              <w:pStyle w:val="12"/>
            </w:pPr>
            <w:r>
              <w:t>90.00</w:t>
            </w:r>
          </w:p>
        </w:tc>
        <w:tc>
          <w:tcPr>
            <w:tcW w:w="1134" w:type="dxa"/>
            <w:vAlign w:val="center"/>
          </w:tcPr>
          <w:p>
            <w:pPr>
              <w:pStyle w:val="13"/>
            </w:pPr>
            <w:r>
              <w:t>执法记录仪</w:t>
            </w:r>
          </w:p>
        </w:tc>
        <w:tc>
          <w:tcPr>
            <w:tcW w:w="1134" w:type="dxa"/>
            <w:vAlign w:val="center"/>
          </w:tcPr>
          <w:p>
            <w:pPr>
              <w:pStyle w:val="13"/>
            </w:pPr>
            <w:r>
              <w:t>A02020600</w:t>
            </w:r>
          </w:p>
        </w:tc>
        <w:tc>
          <w:tcPr>
            <w:tcW w:w="709" w:type="dxa"/>
            <w:vAlign w:val="center"/>
          </w:tcPr>
          <w:p>
            <w:pPr>
              <w:pStyle w:val="14"/>
            </w:pPr>
            <w:r>
              <w:t>万元</w:t>
            </w:r>
          </w:p>
        </w:tc>
        <w:tc>
          <w:tcPr>
            <w:tcW w:w="850" w:type="dxa"/>
            <w:vAlign w:val="center"/>
          </w:tcPr>
          <w:p>
            <w:pPr>
              <w:pStyle w:val="12"/>
            </w:pPr>
            <w:r>
              <w:t>20</w:t>
            </w:r>
          </w:p>
        </w:tc>
        <w:tc>
          <w:tcPr>
            <w:tcW w:w="850" w:type="dxa"/>
            <w:vAlign w:val="center"/>
          </w:tcPr>
          <w:p>
            <w:pPr>
              <w:pStyle w:val="12"/>
            </w:pPr>
            <w:r>
              <w:t>0.25</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城管局运行经费</w:t>
            </w:r>
          </w:p>
        </w:tc>
        <w:tc>
          <w:tcPr>
            <w:tcW w:w="964" w:type="dxa"/>
            <w:vAlign w:val="center"/>
          </w:tcPr>
          <w:p>
            <w:pPr>
              <w:pStyle w:val="12"/>
            </w:pPr>
            <w:r>
              <w:t>90.00</w:t>
            </w:r>
          </w:p>
        </w:tc>
        <w:tc>
          <w:tcPr>
            <w:tcW w:w="1134" w:type="dxa"/>
            <w:vAlign w:val="center"/>
          </w:tcPr>
          <w:p>
            <w:pPr>
              <w:pStyle w:val="13"/>
            </w:pPr>
            <w:r>
              <w:t>其他制冷空调设备</w:t>
            </w:r>
          </w:p>
        </w:tc>
        <w:tc>
          <w:tcPr>
            <w:tcW w:w="1134" w:type="dxa"/>
            <w:vAlign w:val="center"/>
          </w:tcPr>
          <w:p>
            <w:pPr>
              <w:pStyle w:val="13"/>
            </w:pPr>
            <w:r>
              <w:t>A02052399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城管局运行经费</w:t>
            </w:r>
          </w:p>
        </w:tc>
        <w:tc>
          <w:tcPr>
            <w:tcW w:w="964" w:type="dxa"/>
            <w:vAlign w:val="center"/>
          </w:tcPr>
          <w:p>
            <w:pPr>
              <w:pStyle w:val="12"/>
            </w:pPr>
            <w:r>
              <w:t>90.00</w:t>
            </w:r>
          </w:p>
        </w:tc>
        <w:tc>
          <w:tcPr>
            <w:tcW w:w="1134" w:type="dxa"/>
            <w:vAlign w:val="center"/>
          </w:tcPr>
          <w:p>
            <w:pPr>
              <w:pStyle w:val="13"/>
            </w:pPr>
            <w:r>
              <w:t>其他视频会议系统设备</w:t>
            </w:r>
          </w:p>
        </w:tc>
        <w:tc>
          <w:tcPr>
            <w:tcW w:w="1134" w:type="dxa"/>
            <w:vAlign w:val="center"/>
          </w:tcPr>
          <w:p>
            <w:pPr>
              <w:pStyle w:val="13"/>
            </w:pPr>
            <w:r>
              <w:t>A02080899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0.54</w:t>
            </w:r>
          </w:p>
        </w:tc>
        <w:tc>
          <w:tcPr>
            <w:tcW w:w="964" w:type="dxa"/>
            <w:vAlign w:val="center"/>
          </w:tcPr>
          <w:p>
            <w:pPr>
              <w:pStyle w:val="12"/>
            </w:pPr>
            <w:r>
              <w:t>0.54</w:t>
            </w:r>
          </w:p>
        </w:tc>
        <w:tc>
          <w:tcPr>
            <w:tcW w:w="964" w:type="dxa"/>
            <w:vAlign w:val="center"/>
          </w:tcPr>
          <w:p>
            <w:pPr>
              <w:pStyle w:val="12"/>
            </w:pPr>
            <w:r>
              <w:t>0.54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城管局运行经费</w:t>
            </w:r>
          </w:p>
        </w:tc>
        <w:tc>
          <w:tcPr>
            <w:tcW w:w="964" w:type="dxa"/>
            <w:vAlign w:val="center"/>
          </w:tcPr>
          <w:p>
            <w:pPr>
              <w:pStyle w:val="12"/>
            </w:pPr>
            <w:r>
              <w:t>90.00</w:t>
            </w:r>
          </w:p>
        </w:tc>
        <w:tc>
          <w:tcPr>
            <w:tcW w:w="1134" w:type="dxa"/>
            <w:vAlign w:val="center"/>
          </w:tcPr>
          <w:p>
            <w:pPr>
              <w:pStyle w:val="13"/>
            </w:pPr>
            <w:r>
              <w:t>其他台、桌类</w:t>
            </w:r>
          </w:p>
        </w:tc>
        <w:tc>
          <w:tcPr>
            <w:tcW w:w="1134" w:type="dxa"/>
            <w:vAlign w:val="center"/>
          </w:tcPr>
          <w:p>
            <w:pPr>
              <w:pStyle w:val="13"/>
            </w:pPr>
            <w:r>
              <w:t>A05010299</w:t>
            </w:r>
          </w:p>
        </w:tc>
        <w:tc>
          <w:tcPr>
            <w:tcW w:w="709" w:type="dxa"/>
            <w:vAlign w:val="center"/>
          </w:tcPr>
          <w:p>
            <w:pPr>
              <w:pStyle w:val="14"/>
            </w:pPr>
            <w:r>
              <w:t>万元</w:t>
            </w:r>
          </w:p>
        </w:tc>
        <w:tc>
          <w:tcPr>
            <w:tcW w:w="850" w:type="dxa"/>
            <w:vAlign w:val="center"/>
          </w:tcPr>
          <w:p>
            <w:pPr>
              <w:pStyle w:val="12"/>
            </w:pPr>
            <w:r>
              <w:t>8</w:t>
            </w:r>
          </w:p>
        </w:tc>
        <w:tc>
          <w:tcPr>
            <w:tcW w:w="850" w:type="dxa"/>
            <w:vAlign w:val="center"/>
          </w:tcPr>
          <w:p>
            <w:pPr>
              <w:pStyle w:val="12"/>
            </w:pPr>
            <w:r>
              <w:t>0.25</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城管局运行经费</w:t>
            </w:r>
          </w:p>
        </w:tc>
        <w:tc>
          <w:tcPr>
            <w:tcW w:w="964" w:type="dxa"/>
            <w:vAlign w:val="center"/>
          </w:tcPr>
          <w:p>
            <w:pPr>
              <w:pStyle w:val="12"/>
            </w:pPr>
            <w:r>
              <w:t>90.00</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万元</w:t>
            </w:r>
          </w:p>
        </w:tc>
        <w:tc>
          <w:tcPr>
            <w:tcW w:w="850" w:type="dxa"/>
            <w:vAlign w:val="center"/>
          </w:tcPr>
          <w:p>
            <w:pPr>
              <w:pStyle w:val="12"/>
            </w:pPr>
            <w:r>
              <w:t>7</w:t>
            </w:r>
          </w:p>
        </w:tc>
        <w:tc>
          <w:tcPr>
            <w:tcW w:w="850" w:type="dxa"/>
            <w:vAlign w:val="center"/>
          </w:tcPr>
          <w:p>
            <w:pPr>
              <w:pStyle w:val="12"/>
            </w:pPr>
            <w:r>
              <w:t>0.10</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城管局运行经费</w:t>
            </w:r>
          </w:p>
        </w:tc>
        <w:tc>
          <w:tcPr>
            <w:tcW w:w="964" w:type="dxa"/>
            <w:vAlign w:val="center"/>
          </w:tcPr>
          <w:p>
            <w:pPr>
              <w:pStyle w:val="12"/>
            </w:pPr>
            <w:r>
              <w:t>90.00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11.00</w:t>
            </w:r>
          </w:p>
        </w:tc>
        <w:tc>
          <w:tcPr>
            <w:tcW w:w="964" w:type="dxa"/>
            <w:vAlign w:val="center"/>
          </w:tcPr>
          <w:p>
            <w:pPr>
              <w:pStyle w:val="12"/>
            </w:pPr>
            <w:r>
              <w:t>11.00</w:t>
            </w:r>
          </w:p>
        </w:tc>
        <w:tc>
          <w:tcPr>
            <w:tcW w:w="964" w:type="dxa"/>
            <w:vAlign w:val="center"/>
          </w:tcPr>
          <w:p>
            <w:pPr>
              <w:pStyle w:val="12"/>
            </w:pPr>
            <w:r>
              <w:t>11.00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城管局运行经费</w:t>
            </w:r>
          </w:p>
        </w:tc>
        <w:tc>
          <w:tcPr>
            <w:tcW w:w="964" w:type="dxa"/>
            <w:vAlign w:val="center"/>
          </w:tcPr>
          <w:p>
            <w:pPr>
              <w:pStyle w:val="12"/>
            </w:pPr>
            <w:r>
              <w:t>90.00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7.00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城管局运行经费</w:t>
            </w:r>
          </w:p>
        </w:tc>
        <w:tc>
          <w:tcPr>
            <w:tcW w:w="964" w:type="dxa"/>
            <w:vAlign w:val="center"/>
          </w:tcPr>
          <w:p>
            <w:pPr>
              <w:pStyle w:val="12"/>
            </w:pPr>
            <w:r>
              <w:t>90.00</w:t>
            </w:r>
          </w:p>
        </w:tc>
        <w:tc>
          <w:tcPr>
            <w:tcW w:w="1134" w:type="dxa"/>
            <w:vAlign w:val="center"/>
          </w:tcPr>
          <w:p>
            <w:pPr>
              <w:pStyle w:val="13"/>
            </w:pPr>
            <w:r>
              <w:t>其他车辆维修和保养服务</w:t>
            </w:r>
          </w:p>
        </w:tc>
        <w:tc>
          <w:tcPr>
            <w:tcW w:w="1134" w:type="dxa"/>
            <w:vAlign w:val="center"/>
          </w:tcPr>
          <w:p>
            <w:pPr>
              <w:pStyle w:val="13"/>
            </w:pPr>
            <w:r>
              <w:t>C23120399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数字化城管平台系统运维项目</w:t>
            </w:r>
          </w:p>
        </w:tc>
        <w:tc>
          <w:tcPr>
            <w:tcW w:w="964" w:type="dxa"/>
            <w:vAlign w:val="center"/>
          </w:tcPr>
          <w:p>
            <w:pPr>
              <w:pStyle w:val="12"/>
            </w:pPr>
            <w:r>
              <w:t>290.00</w:t>
            </w:r>
          </w:p>
        </w:tc>
        <w:tc>
          <w:tcPr>
            <w:tcW w:w="1134" w:type="dxa"/>
            <w:vAlign w:val="center"/>
          </w:tcPr>
          <w:p>
            <w:pPr>
              <w:pStyle w:val="13"/>
            </w:pPr>
            <w:r>
              <w:t>其他运行维护服务</w:t>
            </w:r>
          </w:p>
        </w:tc>
        <w:tc>
          <w:tcPr>
            <w:tcW w:w="1134" w:type="dxa"/>
            <w:vAlign w:val="center"/>
          </w:tcPr>
          <w:p>
            <w:pPr>
              <w:pStyle w:val="13"/>
            </w:pPr>
            <w:r>
              <w:t>C16079900</w:t>
            </w:r>
          </w:p>
        </w:tc>
        <w:tc>
          <w:tcPr>
            <w:tcW w:w="709" w:type="dxa"/>
            <w:vAlign w:val="center"/>
          </w:tcPr>
          <w:p>
            <w:pPr>
              <w:pStyle w:val="14"/>
            </w:pPr>
            <w:r>
              <w:t>万元/项</w:t>
            </w:r>
          </w:p>
        </w:tc>
        <w:tc>
          <w:tcPr>
            <w:tcW w:w="850" w:type="dxa"/>
            <w:vAlign w:val="center"/>
          </w:tcPr>
          <w:p>
            <w:pPr>
              <w:pStyle w:val="12"/>
            </w:pPr>
            <w:r>
              <w:t>1</w:t>
            </w:r>
          </w:p>
        </w:tc>
        <w:tc>
          <w:tcPr>
            <w:tcW w:w="850" w:type="dxa"/>
            <w:vAlign w:val="center"/>
          </w:tcPr>
          <w:p>
            <w:pPr>
              <w:pStyle w:val="12"/>
            </w:pPr>
            <w:r>
              <w:t>290.00</w:t>
            </w:r>
          </w:p>
        </w:tc>
        <w:tc>
          <w:tcPr>
            <w:tcW w:w="964" w:type="dxa"/>
            <w:vAlign w:val="center"/>
          </w:tcPr>
          <w:p>
            <w:pPr>
              <w:pStyle w:val="12"/>
            </w:pPr>
            <w:r>
              <w:t>290.00</w:t>
            </w:r>
          </w:p>
        </w:tc>
        <w:tc>
          <w:tcPr>
            <w:tcW w:w="964" w:type="dxa"/>
            <w:vAlign w:val="center"/>
          </w:tcPr>
          <w:p>
            <w:pPr>
              <w:pStyle w:val="12"/>
            </w:pPr>
            <w:r>
              <w:t>290.00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数字化城市管理监督检查信息采集服务项目</w:t>
            </w:r>
          </w:p>
        </w:tc>
        <w:tc>
          <w:tcPr>
            <w:tcW w:w="964" w:type="dxa"/>
            <w:vAlign w:val="center"/>
          </w:tcPr>
          <w:p>
            <w:pPr>
              <w:pStyle w:val="12"/>
            </w:pPr>
            <w:r>
              <w:t>315.36</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万元/项</w:t>
            </w:r>
          </w:p>
        </w:tc>
        <w:tc>
          <w:tcPr>
            <w:tcW w:w="850" w:type="dxa"/>
            <w:vAlign w:val="center"/>
          </w:tcPr>
          <w:p>
            <w:pPr>
              <w:pStyle w:val="12"/>
            </w:pPr>
            <w:r>
              <w:t>1</w:t>
            </w:r>
          </w:p>
        </w:tc>
        <w:tc>
          <w:tcPr>
            <w:tcW w:w="850" w:type="dxa"/>
            <w:vAlign w:val="center"/>
          </w:tcPr>
          <w:p>
            <w:pPr>
              <w:pStyle w:val="12"/>
            </w:pPr>
            <w:r>
              <w:t>315.36</w:t>
            </w:r>
          </w:p>
        </w:tc>
        <w:tc>
          <w:tcPr>
            <w:tcW w:w="964" w:type="dxa"/>
            <w:vAlign w:val="center"/>
          </w:tcPr>
          <w:p>
            <w:pPr>
              <w:pStyle w:val="12"/>
            </w:pPr>
            <w:r>
              <w:t>315.36</w:t>
            </w:r>
          </w:p>
        </w:tc>
        <w:tc>
          <w:tcPr>
            <w:tcW w:w="964" w:type="dxa"/>
            <w:vAlign w:val="center"/>
          </w:tcPr>
          <w:p>
            <w:pPr>
              <w:pStyle w:val="12"/>
            </w:pPr>
            <w:r>
              <w:t>315.36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315.36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数字化运行费</w:t>
            </w:r>
          </w:p>
        </w:tc>
        <w:tc>
          <w:tcPr>
            <w:tcW w:w="964" w:type="dxa"/>
            <w:vAlign w:val="center"/>
          </w:tcPr>
          <w:p>
            <w:pPr>
              <w:pStyle w:val="12"/>
            </w:pPr>
            <w:r>
              <w:t>18.00</w:t>
            </w:r>
          </w:p>
        </w:tc>
        <w:tc>
          <w:tcPr>
            <w:tcW w:w="1134" w:type="dxa"/>
            <w:vAlign w:val="center"/>
          </w:tcPr>
          <w:p>
            <w:pPr>
              <w:pStyle w:val="13"/>
            </w:pPr>
            <w:r>
              <w:t>视频监控设备</w:t>
            </w:r>
          </w:p>
        </w:tc>
        <w:tc>
          <w:tcPr>
            <w:tcW w:w="1134" w:type="dxa"/>
            <w:vAlign w:val="center"/>
          </w:tcPr>
          <w:p>
            <w:pPr>
              <w:pStyle w:val="13"/>
            </w:pPr>
            <w:r>
              <w:t>A02091107</w:t>
            </w:r>
          </w:p>
        </w:tc>
        <w:tc>
          <w:tcPr>
            <w:tcW w:w="709" w:type="dxa"/>
            <w:vAlign w:val="center"/>
          </w:tcPr>
          <w:p>
            <w:pPr>
              <w:pStyle w:val="14"/>
            </w:pPr>
            <w:r>
              <w:t>万元/个</w:t>
            </w:r>
          </w:p>
        </w:tc>
        <w:tc>
          <w:tcPr>
            <w:tcW w:w="850" w:type="dxa"/>
            <w:vAlign w:val="center"/>
          </w:tcPr>
          <w:p>
            <w:pPr>
              <w:pStyle w:val="12"/>
            </w:pPr>
            <w:r>
              <w:t>3</w:t>
            </w:r>
          </w:p>
        </w:tc>
        <w:tc>
          <w:tcPr>
            <w:tcW w:w="850" w:type="dxa"/>
            <w:vAlign w:val="center"/>
          </w:tcPr>
          <w:p>
            <w:pPr>
              <w:pStyle w:val="12"/>
            </w:pPr>
            <w:r>
              <w:t>1.50</w:t>
            </w:r>
          </w:p>
        </w:tc>
        <w:tc>
          <w:tcPr>
            <w:tcW w:w="964" w:type="dxa"/>
            <w:vAlign w:val="center"/>
          </w:tcPr>
          <w:p>
            <w:pPr>
              <w:pStyle w:val="12"/>
            </w:pPr>
            <w:r>
              <w:t>4.50</w:t>
            </w:r>
          </w:p>
        </w:tc>
        <w:tc>
          <w:tcPr>
            <w:tcW w:w="964" w:type="dxa"/>
            <w:vAlign w:val="center"/>
          </w:tcPr>
          <w:p>
            <w:pPr>
              <w:pStyle w:val="12"/>
            </w:pPr>
            <w:r>
              <w:t>4.50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数字化运行费</w:t>
            </w:r>
          </w:p>
        </w:tc>
        <w:tc>
          <w:tcPr>
            <w:tcW w:w="964" w:type="dxa"/>
            <w:vAlign w:val="center"/>
          </w:tcPr>
          <w:p>
            <w:pPr>
              <w:pStyle w:val="12"/>
            </w:pPr>
            <w:r>
              <w:t>18.00</w:t>
            </w:r>
          </w:p>
        </w:tc>
        <w:tc>
          <w:tcPr>
            <w:tcW w:w="1134" w:type="dxa"/>
            <w:vAlign w:val="center"/>
          </w:tcPr>
          <w:p>
            <w:pPr>
              <w:pStyle w:val="13"/>
            </w:pPr>
            <w:r>
              <w:t>视频监控设备</w:t>
            </w:r>
          </w:p>
        </w:tc>
        <w:tc>
          <w:tcPr>
            <w:tcW w:w="1134" w:type="dxa"/>
            <w:vAlign w:val="center"/>
          </w:tcPr>
          <w:p>
            <w:pPr>
              <w:pStyle w:val="13"/>
            </w:pPr>
            <w:r>
              <w:t>A02091107</w:t>
            </w:r>
          </w:p>
        </w:tc>
        <w:tc>
          <w:tcPr>
            <w:tcW w:w="709" w:type="dxa"/>
            <w:vAlign w:val="center"/>
          </w:tcPr>
          <w:p>
            <w:pPr>
              <w:pStyle w:val="14"/>
            </w:pPr>
            <w:r>
              <w:t>万元/个</w:t>
            </w:r>
          </w:p>
        </w:tc>
        <w:tc>
          <w:tcPr>
            <w:tcW w:w="850" w:type="dxa"/>
            <w:vAlign w:val="center"/>
          </w:tcPr>
          <w:p>
            <w:pPr>
              <w:pStyle w:val="12"/>
            </w:pPr>
            <w:r>
              <w:t>2</w:t>
            </w:r>
          </w:p>
        </w:tc>
        <w:tc>
          <w:tcPr>
            <w:tcW w:w="850" w:type="dxa"/>
            <w:vAlign w:val="center"/>
          </w:tcPr>
          <w:p>
            <w:pPr>
              <w:pStyle w:val="12"/>
            </w:pPr>
            <w:r>
              <w:t>0.15</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数字化运行费</w:t>
            </w:r>
          </w:p>
        </w:tc>
        <w:tc>
          <w:tcPr>
            <w:tcW w:w="964" w:type="dxa"/>
            <w:vAlign w:val="center"/>
          </w:tcPr>
          <w:p>
            <w:pPr>
              <w:pStyle w:val="12"/>
            </w:pPr>
            <w:r>
              <w:t>18.00</w:t>
            </w:r>
          </w:p>
        </w:tc>
        <w:tc>
          <w:tcPr>
            <w:tcW w:w="1134" w:type="dxa"/>
            <w:vAlign w:val="center"/>
          </w:tcPr>
          <w:p>
            <w:pPr>
              <w:pStyle w:val="13"/>
            </w:pPr>
            <w:r>
              <w:t>桌前椅</w:t>
            </w:r>
          </w:p>
        </w:tc>
        <w:tc>
          <w:tcPr>
            <w:tcW w:w="1134" w:type="dxa"/>
            <w:vAlign w:val="center"/>
          </w:tcPr>
          <w:p>
            <w:pPr>
              <w:pStyle w:val="13"/>
            </w:pPr>
            <w:r>
              <w:t>A05010302</w:t>
            </w:r>
          </w:p>
        </w:tc>
        <w:tc>
          <w:tcPr>
            <w:tcW w:w="709" w:type="dxa"/>
            <w:vAlign w:val="center"/>
          </w:tcPr>
          <w:p>
            <w:pPr>
              <w:pStyle w:val="14"/>
            </w:pPr>
            <w:r>
              <w:t>万元/把</w:t>
            </w:r>
          </w:p>
        </w:tc>
        <w:tc>
          <w:tcPr>
            <w:tcW w:w="850" w:type="dxa"/>
            <w:vAlign w:val="center"/>
          </w:tcPr>
          <w:p>
            <w:pPr>
              <w:pStyle w:val="12"/>
            </w:pPr>
            <w:r>
              <w:t>4</w:t>
            </w:r>
          </w:p>
        </w:tc>
        <w:tc>
          <w:tcPr>
            <w:tcW w:w="850" w:type="dxa"/>
            <w:vAlign w:val="center"/>
          </w:tcPr>
          <w:p>
            <w:pPr>
              <w:pStyle w:val="12"/>
            </w:pPr>
            <w:r>
              <w:t>0.05</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数字化运行费</w:t>
            </w:r>
          </w:p>
        </w:tc>
        <w:tc>
          <w:tcPr>
            <w:tcW w:w="964" w:type="dxa"/>
            <w:vAlign w:val="center"/>
          </w:tcPr>
          <w:p>
            <w:pPr>
              <w:pStyle w:val="12"/>
            </w:pPr>
            <w:r>
              <w:t>18.00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万元/项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数字化运行费</w:t>
            </w:r>
          </w:p>
        </w:tc>
        <w:tc>
          <w:tcPr>
            <w:tcW w:w="964" w:type="dxa"/>
            <w:vAlign w:val="center"/>
          </w:tcPr>
          <w:p>
            <w:pPr>
              <w:pStyle w:val="12"/>
            </w:pPr>
            <w:r>
              <w:t>18.00</w:t>
            </w:r>
          </w:p>
        </w:tc>
        <w:tc>
          <w:tcPr>
            <w:tcW w:w="1134" w:type="dxa"/>
            <w:vAlign w:val="center"/>
          </w:tcPr>
          <w:p>
            <w:pPr>
              <w:pStyle w:val="13"/>
            </w:pPr>
            <w:r>
              <w:t>其他车辆维修和保养服务</w:t>
            </w:r>
          </w:p>
        </w:tc>
        <w:tc>
          <w:tcPr>
            <w:tcW w:w="1134" w:type="dxa"/>
            <w:vAlign w:val="center"/>
          </w:tcPr>
          <w:p>
            <w:pPr>
              <w:pStyle w:val="13"/>
            </w:pPr>
            <w:r>
              <w:t>C23120399</w:t>
            </w:r>
          </w:p>
        </w:tc>
        <w:tc>
          <w:tcPr>
            <w:tcW w:w="709" w:type="dxa"/>
            <w:vAlign w:val="center"/>
          </w:tcPr>
          <w:p>
            <w:pPr>
              <w:pStyle w:val="14"/>
            </w:pPr>
            <w:r>
              <w:t>万元/项</w:t>
            </w:r>
          </w:p>
        </w:tc>
        <w:tc>
          <w:tcPr>
            <w:tcW w:w="850" w:type="dxa"/>
            <w:vAlign w:val="center"/>
          </w:tcPr>
          <w:p>
            <w:pPr>
              <w:pStyle w:val="12"/>
            </w:pPr>
            <w:r>
              <w:t>1</w:t>
            </w:r>
          </w:p>
        </w:tc>
        <w:tc>
          <w:tcPr>
            <w:tcW w:w="850" w:type="dxa"/>
            <w:vAlign w:val="center"/>
          </w:tcPr>
          <w:p>
            <w:pPr>
              <w:pStyle w:val="12"/>
            </w:pPr>
            <w:r>
              <w:t>2.88</w:t>
            </w:r>
          </w:p>
        </w:tc>
        <w:tc>
          <w:tcPr>
            <w:tcW w:w="964" w:type="dxa"/>
            <w:vAlign w:val="center"/>
          </w:tcPr>
          <w:p>
            <w:pPr>
              <w:pStyle w:val="12"/>
            </w:pPr>
            <w:r>
              <w:t>2.88</w:t>
            </w:r>
          </w:p>
        </w:tc>
        <w:tc>
          <w:tcPr>
            <w:tcW w:w="964" w:type="dxa"/>
            <w:vAlign w:val="center"/>
          </w:tcPr>
          <w:p>
            <w:pPr>
              <w:pStyle w:val="12"/>
            </w:pPr>
            <w:r>
              <w:t>2.88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2025年度公益亮化项目维修养护</w:t>
            </w:r>
          </w:p>
        </w:tc>
        <w:tc>
          <w:tcPr>
            <w:tcW w:w="964" w:type="dxa"/>
            <w:vAlign w:val="center"/>
          </w:tcPr>
          <w:p>
            <w:pPr>
              <w:pStyle w:val="12"/>
            </w:pPr>
            <w:r>
              <w:t>340.00</w:t>
            </w:r>
          </w:p>
        </w:tc>
        <w:tc>
          <w:tcPr>
            <w:tcW w:w="1134" w:type="dxa"/>
            <w:vAlign w:val="center"/>
          </w:tcPr>
          <w:p>
            <w:pPr>
              <w:pStyle w:val="13"/>
            </w:pPr>
            <w:r>
              <w:t>市容管理服务</w:t>
            </w:r>
          </w:p>
        </w:tc>
        <w:tc>
          <w:tcPr>
            <w:tcW w:w="1134" w:type="dxa"/>
            <w:vAlign w:val="center"/>
          </w:tcPr>
          <w:p>
            <w:pPr>
              <w:pStyle w:val="13"/>
            </w:pPr>
            <w:r>
              <w:t>C13040000</w:t>
            </w:r>
          </w:p>
        </w:tc>
        <w:tc>
          <w:tcPr>
            <w:tcW w:w="709" w:type="dxa"/>
            <w:vAlign w:val="center"/>
          </w:tcPr>
          <w:p>
            <w:pPr>
              <w:pStyle w:val="14"/>
            </w:pPr>
            <w:r>
              <w:t>万元/项</w:t>
            </w:r>
          </w:p>
        </w:tc>
        <w:tc>
          <w:tcPr>
            <w:tcW w:w="850" w:type="dxa"/>
            <w:vAlign w:val="center"/>
          </w:tcPr>
          <w:p>
            <w:pPr>
              <w:pStyle w:val="12"/>
            </w:pPr>
            <w:r>
              <w:t>1</w:t>
            </w:r>
          </w:p>
        </w:tc>
        <w:tc>
          <w:tcPr>
            <w:tcW w:w="850" w:type="dxa"/>
            <w:vAlign w:val="center"/>
          </w:tcPr>
          <w:p>
            <w:pPr>
              <w:pStyle w:val="12"/>
            </w:pPr>
            <w:r>
              <w:t>340.00</w:t>
            </w:r>
          </w:p>
        </w:tc>
        <w:tc>
          <w:tcPr>
            <w:tcW w:w="964" w:type="dxa"/>
            <w:vAlign w:val="center"/>
          </w:tcPr>
          <w:p>
            <w:pPr>
              <w:pStyle w:val="12"/>
            </w:pPr>
            <w:r>
              <w:t>340.00</w:t>
            </w:r>
          </w:p>
        </w:tc>
        <w:tc>
          <w:tcPr>
            <w:tcW w:w="964" w:type="dxa"/>
            <w:vAlign w:val="center"/>
          </w:tcPr>
          <w:p>
            <w:pPr>
              <w:pStyle w:val="12"/>
            </w:pPr>
            <w:r>
              <w:t>340.00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边远地段绿地养护购买服务费</w:t>
            </w:r>
          </w:p>
        </w:tc>
        <w:tc>
          <w:tcPr>
            <w:tcW w:w="964" w:type="dxa"/>
            <w:vAlign w:val="center"/>
          </w:tcPr>
          <w:p>
            <w:pPr>
              <w:pStyle w:val="12"/>
            </w:pPr>
            <w:r>
              <w:t>150.00</w:t>
            </w:r>
          </w:p>
        </w:tc>
        <w:tc>
          <w:tcPr>
            <w:tcW w:w="1134" w:type="dxa"/>
            <w:vAlign w:val="center"/>
          </w:tcPr>
          <w:p>
            <w:pPr>
              <w:pStyle w:val="13"/>
            </w:pPr>
            <w:r>
              <w:t>其他生态环境保护服务</w:t>
            </w:r>
          </w:p>
        </w:tc>
        <w:tc>
          <w:tcPr>
            <w:tcW w:w="1134" w:type="dxa"/>
            <w:vAlign w:val="center"/>
          </w:tcPr>
          <w:p>
            <w:pPr>
              <w:pStyle w:val="13"/>
            </w:pPr>
            <w:r>
              <w:t>C07019900</w:t>
            </w:r>
          </w:p>
        </w:tc>
        <w:tc>
          <w:tcPr>
            <w:tcW w:w="709" w:type="dxa"/>
            <w:vAlign w:val="center"/>
          </w:tcPr>
          <w:p>
            <w:pPr>
              <w:pStyle w:val="14"/>
            </w:pPr>
            <w:r>
              <w:t>万元/项</w:t>
            </w:r>
          </w:p>
        </w:tc>
        <w:tc>
          <w:tcPr>
            <w:tcW w:w="850" w:type="dxa"/>
            <w:vAlign w:val="center"/>
          </w:tcPr>
          <w:p>
            <w:pPr>
              <w:pStyle w:val="12"/>
            </w:pPr>
            <w:r>
              <w:t>1</w:t>
            </w:r>
          </w:p>
        </w:tc>
        <w:tc>
          <w:tcPr>
            <w:tcW w:w="850" w:type="dxa"/>
            <w:vAlign w:val="center"/>
          </w:tcPr>
          <w:p>
            <w:pPr>
              <w:pStyle w:val="12"/>
            </w:pPr>
            <w:r>
              <w:t>150.00</w:t>
            </w:r>
          </w:p>
        </w:tc>
        <w:tc>
          <w:tcPr>
            <w:tcW w:w="964" w:type="dxa"/>
            <w:vAlign w:val="center"/>
          </w:tcPr>
          <w:p>
            <w:pPr>
              <w:pStyle w:val="12"/>
            </w:pPr>
            <w:r>
              <w:t>150.00</w:t>
            </w:r>
          </w:p>
        </w:tc>
        <w:tc>
          <w:tcPr>
            <w:tcW w:w="964" w:type="dxa"/>
            <w:vAlign w:val="center"/>
          </w:tcPr>
          <w:p>
            <w:pPr>
              <w:pStyle w:val="12"/>
            </w:pPr>
          </w:p>
        </w:tc>
        <w:tc>
          <w:tcPr>
            <w:tcW w:w="964" w:type="dxa"/>
            <w:vAlign w:val="center"/>
          </w:tcPr>
          <w:p>
            <w:pPr>
              <w:pStyle w:val="12"/>
            </w:pPr>
            <w:r>
              <w:t>150.00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生活垃圾处理设施第三方调研评估</w:t>
            </w:r>
          </w:p>
        </w:tc>
        <w:tc>
          <w:tcPr>
            <w:tcW w:w="964" w:type="dxa"/>
            <w:vAlign w:val="center"/>
          </w:tcPr>
          <w:p>
            <w:pPr>
              <w:pStyle w:val="12"/>
            </w:pPr>
            <w:r>
              <w:t>17.00</w:t>
            </w:r>
          </w:p>
        </w:tc>
        <w:tc>
          <w:tcPr>
            <w:tcW w:w="1134" w:type="dxa"/>
            <w:vAlign w:val="center"/>
          </w:tcPr>
          <w:p>
            <w:pPr>
              <w:pStyle w:val="13"/>
            </w:pPr>
            <w:r>
              <w:t>其他生态环境保护服务</w:t>
            </w:r>
          </w:p>
        </w:tc>
        <w:tc>
          <w:tcPr>
            <w:tcW w:w="1134" w:type="dxa"/>
            <w:vAlign w:val="center"/>
          </w:tcPr>
          <w:p>
            <w:pPr>
              <w:pStyle w:val="13"/>
            </w:pPr>
            <w:r>
              <w:t>C07019900</w:t>
            </w:r>
          </w:p>
        </w:tc>
        <w:tc>
          <w:tcPr>
            <w:tcW w:w="709" w:type="dxa"/>
            <w:vAlign w:val="center"/>
          </w:tcPr>
          <w:p>
            <w:pPr>
              <w:pStyle w:val="14"/>
            </w:pPr>
            <w:r>
              <w:t>万元/项</w:t>
            </w:r>
          </w:p>
        </w:tc>
        <w:tc>
          <w:tcPr>
            <w:tcW w:w="850" w:type="dxa"/>
            <w:vAlign w:val="center"/>
          </w:tcPr>
          <w:p>
            <w:pPr>
              <w:pStyle w:val="12"/>
            </w:pPr>
            <w:r>
              <w:t>1</w:t>
            </w:r>
          </w:p>
        </w:tc>
        <w:tc>
          <w:tcPr>
            <w:tcW w:w="850" w:type="dxa"/>
            <w:vAlign w:val="center"/>
          </w:tcPr>
          <w:p>
            <w:pPr>
              <w:pStyle w:val="12"/>
            </w:pPr>
            <w:r>
              <w:t>17.00</w:t>
            </w:r>
          </w:p>
        </w:tc>
        <w:tc>
          <w:tcPr>
            <w:tcW w:w="964" w:type="dxa"/>
            <w:vAlign w:val="center"/>
          </w:tcPr>
          <w:p>
            <w:pPr>
              <w:pStyle w:val="12"/>
            </w:pPr>
            <w:r>
              <w:t>17.00</w:t>
            </w:r>
          </w:p>
        </w:tc>
        <w:tc>
          <w:tcPr>
            <w:tcW w:w="964" w:type="dxa"/>
            <w:vAlign w:val="center"/>
          </w:tcPr>
          <w:p>
            <w:pPr>
              <w:pStyle w:val="12"/>
            </w:pPr>
          </w:p>
        </w:tc>
        <w:tc>
          <w:tcPr>
            <w:tcW w:w="964" w:type="dxa"/>
            <w:vAlign w:val="center"/>
          </w:tcPr>
          <w:p>
            <w:pPr>
              <w:pStyle w:val="12"/>
            </w:pPr>
            <w:r>
              <w:t>17.00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市区主干道及重要节点鲜花绿化项目</w:t>
            </w:r>
          </w:p>
        </w:tc>
        <w:tc>
          <w:tcPr>
            <w:tcW w:w="964" w:type="dxa"/>
            <w:vAlign w:val="center"/>
          </w:tcPr>
          <w:p>
            <w:pPr>
              <w:pStyle w:val="12"/>
            </w:pPr>
            <w:r>
              <w:t>180.00</w:t>
            </w:r>
          </w:p>
        </w:tc>
        <w:tc>
          <w:tcPr>
            <w:tcW w:w="1134" w:type="dxa"/>
            <w:vAlign w:val="center"/>
          </w:tcPr>
          <w:p>
            <w:pPr>
              <w:pStyle w:val="13"/>
            </w:pPr>
            <w:r>
              <w:t>其他生态环境保护和治理服务</w:t>
            </w:r>
          </w:p>
        </w:tc>
        <w:tc>
          <w:tcPr>
            <w:tcW w:w="1134" w:type="dxa"/>
            <w:vAlign w:val="center"/>
          </w:tcPr>
          <w:p>
            <w:pPr>
              <w:pStyle w:val="13"/>
            </w:pPr>
            <w:r>
              <w:t>C07990000</w:t>
            </w:r>
          </w:p>
        </w:tc>
        <w:tc>
          <w:tcPr>
            <w:tcW w:w="709" w:type="dxa"/>
            <w:vAlign w:val="center"/>
          </w:tcPr>
          <w:p>
            <w:pPr>
              <w:pStyle w:val="14"/>
            </w:pPr>
            <w:r>
              <w:t>万元/项</w:t>
            </w:r>
          </w:p>
        </w:tc>
        <w:tc>
          <w:tcPr>
            <w:tcW w:w="850" w:type="dxa"/>
            <w:vAlign w:val="center"/>
          </w:tcPr>
          <w:p>
            <w:pPr>
              <w:pStyle w:val="12"/>
            </w:pPr>
            <w:r>
              <w:t>1</w:t>
            </w:r>
          </w:p>
        </w:tc>
        <w:tc>
          <w:tcPr>
            <w:tcW w:w="850" w:type="dxa"/>
            <w:vAlign w:val="center"/>
          </w:tcPr>
          <w:p>
            <w:pPr>
              <w:pStyle w:val="12"/>
            </w:pPr>
            <w:r>
              <w:t>180.00</w:t>
            </w:r>
          </w:p>
        </w:tc>
        <w:tc>
          <w:tcPr>
            <w:tcW w:w="964" w:type="dxa"/>
            <w:vAlign w:val="center"/>
          </w:tcPr>
          <w:p>
            <w:pPr>
              <w:pStyle w:val="12"/>
            </w:pPr>
            <w:r>
              <w:t>180.00</w:t>
            </w:r>
          </w:p>
        </w:tc>
        <w:tc>
          <w:tcPr>
            <w:tcW w:w="964" w:type="dxa"/>
            <w:vAlign w:val="center"/>
          </w:tcPr>
          <w:p>
            <w:pPr>
              <w:pStyle w:val="12"/>
            </w:pPr>
          </w:p>
        </w:tc>
        <w:tc>
          <w:tcPr>
            <w:tcW w:w="964" w:type="dxa"/>
            <w:vAlign w:val="center"/>
          </w:tcPr>
          <w:p>
            <w:pPr>
              <w:pStyle w:val="12"/>
            </w:pPr>
            <w:r>
              <w:t>180.00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污水雨排水设施维护养护</w:t>
            </w:r>
          </w:p>
        </w:tc>
        <w:tc>
          <w:tcPr>
            <w:tcW w:w="964" w:type="dxa"/>
            <w:vAlign w:val="center"/>
          </w:tcPr>
          <w:p>
            <w:pPr>
              <w:pStyle w:val="12"/>
            </w:pPr>
            <w:r>
              <w:t>300.00</w:t>
            </w:r>
          </w:p>
        </w:tc>
        <w:tc>
          <w:tcPr>
            <w:tcW w:w="1134" w:type="dxa"/>
            <w:vAlign w:val="center"/>
          </w:tcPr>
          <w:p>
            <w:pPr>
              <w:pStyle w:val="13"/>
            </w:pPr>
            <w:r>
              <w:t>市政公用设施管理服务</w:t>
            </w:r>
          </w:p>
        </w:tc>
        <w:tc>
          <w:tcPr>
            <w:tcW w:w="1134" w:type="dxa"/>
            <w:vAlign w:val="center"/>
          </w:tcPr>
          <w:p>
            <w:pPr>
              <w:pStyle w:val="13"/>
            </w:pPr>
            <w:r>
              <w:t>C13020000</w:t>
            </w:r>
          </w:p>
        </w:tc>
        <w:tc>
          <w:tcPr>
            <w:tcW w:w="709" w:type="dxa"/>
            <w:vAlign w:val="center"/>
          </w:tcPr>
          <w:p>
            <w:pPr>
              <w:pStyle w:val="14"/>
            </w:pPr>
            <w:r>
              <w:t>万元/项</w:t>
            </w:r>
          </w:p>
        </w:tc>
        <w:tc>
          <w:tcPr>
            <w:tcW w:w="850" w:type="dxa"/>
            <w:vAlign w:val="center"/>
          </w:tcPr>
          <w:p>
            <w:pPr>
              <w:pStyle w:val="12"/>
            </w:pPr>
            <w:r>
              <w:t>1</w:t>
            </w:r>
          </w:p>
        </w:tc>
        <w:tc>
          <w:tcPr>
            <w:tcW w:w="850" w:type="dxa"/>
            <w:vAlign w:val="center"/>
          </w:tcPr>
          <w:p>
            <w:pPr>
              <w:pStyle w:val="12"/>
            </w:pPr>
            <w:r>
              <w:t>300.00</w:t>
            </w:r>
          </w:p>
        </w:tc>
        <w:tc>
          <w:tcPr>
            <w:tcW w:w="964" w:type="dxa"/>
            <w:vAlign w:val="center"/>
          </w:tcPr>
          <w:p>
            <w:pPr>
              <w:pStyle w:val="12"/>
            </w:pPr>
            <w:r>
              <w:t>300.00</w:t>
            </w:r>
          </w:p>
        </w:tc>
        <w:tc>
          <w:tcPr>
            <w:tcW w:w="964" w:type="dxa"/>
            <w:vAlign w:val="center"/>
          </w:tcPr>
          <w:p>
            <w:pPr>
              <w:pStyle w:val="12"/>
            </w:pPr>
          </w:p>
        </w:tc>
        <w:tc>
          <w:tcPr>
            <w:tcW w:w="964" w:type="dxa"/>
            <w:vAlign w:val="center"/>
          </w:tcPr>
          <w:p>
            <w:pPr>
              <w:pStyle w:val="12"/>
            </w:pPr>
            <w:r>
              <w:t>300.00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污水雨排水设施应急抢修</w:t>
            </w:r>
          </w:p>
        </w:tc>
        <w:tc>
          <w:tcPr>
            <w:tcW w:w="964" w:type="dxa"/>
            <w:vAlign w:val="center"/>
          </w:tcPr>
          <w:p>
            <w:pPr>
              <w:pStyle w:val="12"/>
            </w:pPr>
            <w:r>
              <w:t>100.00</w:t>
            </w:r>
          </w:p>
        </w:tc>
        <w:tc>
          <w:tcPr>
            <w:tcW w:w="1134" w:type="dxa"/>
            <w:vAlign w:val="center"/>
          </w:tcPr>
          <w:p>
            <w:pPr>
              <w:pStyle w:val="13"/>
            </w:pPr>
            <w:r>
              <w:t>市政公用设施管理服务</w:t>
            </w:r>
          </w:p>
        </w:tc>
        <w:tc>
          <w:tcPr>
            <w:tcW w:w="1134" w:type="dxa"/>
            <w:vAlign w:val="center"/>
          </w:tcPr>
          <w:p>
            <w:pPr>
              <w:pStyle w:val="13"/>
            </w:pPr>
            <w:r>
              <w:t>C13020000</w:t>
            </w:r>
          </w:p>
        </w:tc>
        <w:tc>
          <w:tcPr>
            <w:tcW w:w="709" w:type="dxa"/>
            <w:vAlign w:val="center"/>
          </w:tcPr>
          <w:p>
            <w:pPr>
              <w:pStyle w:val="14"/>
            </w:pPr>
            <w:r>
              <w:t>万元/项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承德市城市管理综合行政执法支队小计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2.10</w:t>
            </w:r>
          </w:p>
        </w:tc>
        <w:tc>
          <w:tcPr>
            <w:tcW w:w="964" w:type="dxa"/>
            <w:vAlign w:val="center"/>
          </w:tcPr>
          <w:p>
            <w:pPr>
              <w:pStyle w:val="16"/>
            </w:pPr>
            <w:r>
              <w:t>2.10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70.82</w:t>
            </w:r>
          </w:p>
        </w:tc>
        <w:tc>
          <w:tcPr>
            <w:tcW w:w="1134" w:type="dxa"/>
            <w:vAlign w:val="center"/>
          </w:tcPr>
          <w:p>
            <w:pPr>
              <w:pStyle w:val="13"/>
            </w:pPr>
            <w:r>
              <w:t>其他车辆维修和保养服务</w:t>
            </w:r>
          </w:p>
        </w:tc>
        <w:tc>
          <w:tcPr>
            <w:tcW w:w="1134" w:type="dxa"/>
            <w:vAlign w:val="center"/>
          </w:tcPr>
          <w:p>
            <w:pPr>
              <w:pStyle w:val="13"/>
            </w:pPr>
            <w:r>
              <w:t>C23120399</w:t>
            </w:r>
          </w:p>
        </w:tc>
        <w:tc>
          <w:tcPr>
            <w:tcW w:w="709" w:type="dxa"/>
            <w:vAlign w:val="center"/>
          </w:tcPr>
          <w:p>
            <w:pPr>
              <w:pStyle w:val="14"/>
            </w:pPr>
            <w:r>
              <w:t>万元/项</w:t>
            </w:r>
          </w:p>
        </w:tc>
        <w:tc>
          <w:tcPr>
            <w:tcW w:w="850" w:type="dxa"/>
            <w:vAlign w:val="center"/>
          </w:tcPr>
          <w:p>
            <w:pPr>
              <w:pStyle w:val="12"/>
            </w:pPr>
            <w:r>
              <w:t>1</w:t>
            </w:r>
          </w:p>
        </w:tc>
        <w:tc>
          <w:tcPr>
            <w:tcW w:w="850" w:type="dxa"/>
            <w:vAlign w:val="center"/>
          </w:tcPr>
          <w:p>
            <w:pPr>
              <w:pStyle w:val="12"/>
            </w:pPr>
            <w:r>
              <w:t>2.10</w:t>
            </w:r>
          </w:p>
        </w:tc>
        <w:tc>
          <w:tcPr>
            <w:tcW w:w="964" w:type="dxa"/>
            <w:vAlign w:val="center"/>
          </w:tcPr>
          <w:p>
            <w:pPr>
              <w:pStyle w:val="12"/>
            </w:pPr>
            <w:r>
              <w:t>2.10</w:t>
            </w:r>
          </w:p>
        </w:tc>
        <w:tc>
          <w:tcPr>
            <w:tcW w:w="964" w:type="dxa"/>
            <w:vAlign w:val="center"/>
          </w:tcPr>
          <w:p>
            <w:pPr>
              <w:pStyle w:val="12"/>
            </w:pPr>
            <w:r>
              <w:t>2.10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承德市城市管理综合行政执法局（含所属单位）上年末固定资产金额为</w:t>
      </w:r>
      <w:r>
        <w:rPr>
          <w:rFonts w:hint="eastAsia" w:eastAsia="方正仿宋_GBK" w:cs="Times New Roman"/>
          <w:b w:val="0"/>
          <w:color w:val="000000"/>
          <w:sz w:val="28"/>
          <w:lang w:val="en-US" w:eastAsia="zh-CN"/>
        </w:rPr>
        <w:t>1496.04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15.00</w:t>
      </w:r>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33"/>
        <w:gridCol w:w="2437"/>
        <w:gridCol w:w="2496"/>
        <w:gridCol w:w="3174"/>
        <w:gridCol w:w="17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759" w:type="dxa"/>
          <w:trHeight w:val="0" w:hRule="atLeast"/>
          <w:tblHeader/>
          <w:jc w:val="center"/>
        </w:trPr>
        <w:tc>
          <w:tcPr>
            <w:tcW w:w="7370" w:type="dxa"/>
            <w:gridSpan w:val="2"/>
            <w:tcBorders>
              <w:top w:val="single" w:color="FFFFFF" w:sz="6" w:space="0"/>
              <w:left w:val="single" w:color="FFFFFF" w:sz="6" w:space="0"/>
              <w:right w:val="single" w:color="FFFFFF" w:sz="6" w:space="0"/>
            </w:tcBorders>
            <w:vAlign w:val="center"/>
          </w:tcPr>
          <w:p>
            <w:pPr>
              <w:pStyle w:val="10"/>
            </w:pPr>
            <w:r>
              <w:t>474承德市城市管理综合行政执法局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gridSpan w:val="2"/>
            <w:vAlign w:val="center"/>
          </w:tcPr>
          <w:p>
            <w:pPr>
              <w:pStyle w:val="11"/>
            </w:pPr>
            <w:r>
              <w:t>数量</w:t>
            </w:r>
          </w:p>
        </w:tc>
        <w:tc>
          <w:tcPr>
            <w:tcW w:w="4933" w:type="dxa"/>
            <w:gridSpan w:val="2"/>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gridSpan w:val="2"/>
            <w:vAlign w:val="center"/>
          </w:tcPr>
          <w:p>
            <w:pPr>
              <w:pStyle w:val="14"/>
            </w:pPr>
          </w:p>
        </w:tc>
        <w:tc>
          <w:tcPr>
            <w:tcW w:w="4933" w:type="dxa"/>
            <w:gridSpan w:val="2"/>
            <w:vAlign w:val="center"/>
          </w:tcPr>
          <w:p>
            <w:pPr>
              <w:pStyle w:val="12"/>
              <w:rPr>
                <w:rFonts w:hint="default" w:eastAsia="方正书宋_GBK"/>
                <w:lang w:val="en-US" w:eastAsia="zh-CN"/>
              </w:rPr>
            </w:pPr>
            <w:r>
              <w:rPr>
                <w:rFonts w:hint="eastAsia"/>
                <w:lang w:val="en-US" w:eastAsia="zh-CN"/>
              </w:rPr>
              <w:t>1496.04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gridSpan w:val="2"/>
            <w:vAlign w:val="center"/>
          </w:tcPr>
          <w:p>
            <w:pPr>
              <w:pStyle w:val="14"/>
            </w:pPr>
            <w:r>
              <w:t>2414</w:t>
            </w:r>
          </w:p>
        </w:tc>
        <w:tc>
          <w:tcPr>
            <w:tcW w:w="4933" w:type="dxa"/>
            <w:gridSpan w:val="2"/>
            <w:vAlign w:val="center"/>
          </w:tcPr>
          <w:p>
            <w:pPr>
              <w:pStyle w:val="12"/>
            </w:pPr>
            <w:r>
              <w:t>496.64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gridSpan w:val="2"/>
            <w:vAlign w:val="center"/>
          </w:tcPr>
          <w:p>
            <w:pPr>
              <w:pStyle w:val="14"/>
            </w:pPr>
            <w:r>
              <w:t>2414</w:t>
            </w:r>
          </w:p>
        </w:tc>
        <w:tc>
          <w:tcPr>
            <w:tcW w:w="4933" w:type="dxa"/>
            <w:gridSpan w:val="2"/>
            <w:vAlign w:val="center"/>
          </w:tcPr>
          <w:p>
            <w:pPr>
              <w:pStyle w:val="12"/>
            </w:pPr>
            <w:r>
              <w:t>496.64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gridSpan w:val="2"/>
            <w:vAlign w:val="center"/>
          </w:tcPr>
          <w:p>
            <w:pPr>
              <w:pStyle w:val="14"/>
            </w:pPr>
            <w:r>
              <w:t>24</w:t>
            </w:r>
          </w:p>
        </w:tc>
        <w:tc>
          <w:tcPr>
            <w:tcW w:w="4933" w:type="dxa"/>
            <w:gridSpan w:val="2"/>
            <w:vAlign w:val="center"/>
          </w:tcPr>
          <w:p>
            <w:pPr>
              <w:pStyle w:val="12"/>
            </w:pPr>
            <w:r>
              <w:t>262.49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gridSpan w:val="2"/>
            <w:vAlign w:val="center"/>
          </w:tcPr>
          <w:p>
            <w:pPr>
              <w:pStyle w:val="14"/>
            </w:pPr>
            <w:r>
              <w:t>5</w:t>
            </w:r>
          </w:p>
        </w:tc>
        <w:tc>
          <w:tcPr>
            <w:tcW w:w="4933" w:type="dxa"/>
            <w:gridSpan w:val="2"/>
            <w:vAlign w:val="center"/>
          </w:tcPr>
          <w:p>
            <w:pPr>
              <w:pStyle w:val="12"/>
            </w:pPr>
            <w:r>
              <w:t>288.98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gridSpan w:val="2"/>
            <w:vAlign w:val="center"/>
          </w:tcPr>
          <w:p>
            <w:pPr>
              <w:pStyle w:val="14"/>
              <w:rPr>
                <w:rFonts w:hint="default" w:eastAsia="方正书宋_GBK"/>
                <w:lang w:val="en-US" w:eastAsia="zh-CN"/>
              </w:rPr>
            </w:pPr>
            <w:r>
              <w:rPr>
                <w:rFonts w:hint="eastAsia"/>
                <w:lang w:val="en-US" w:eastAsia="zh-CN"/>
              </w:rPr>
              <w:t>1265</w:t>
            </w:r>
          </w:p>
        </w:tc>
        <w:tc>
          <w:tcPr>
            <w:tcW w:w="4933" w:type="dxa"/>
            <w:gridSpan w:val="2"/>
            <w:vAlign w:val="center"/>
          </w:tcPr>
          <w:p>
            <w:pPr>
              <w:pStyle w:val="12"/>
              <w:rPr>
                <w:rFonts w:hint="default" w:eastAsia="方正书宋_GBK"/>
                <w:lang w:val="en-US" w:eastAsia="zh-CN"/>
              </w:rPr>
            </w:pPr>
            <w:r>
              <w:rPr>
                <w:rFonts w:hint="eastAsia"/>
                <w:lang w:val="en-US" w:eastAsia="zh-CN"/>
              </w:rPr>
              <w:t>447.93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DEA99"/>
    <w:multiLevelType w:val="singleLevel"/>
    <w:tmpl w:val="FCEDEA99"/>
    <w:lvl w:ilvl="0" w:tentative="0">
      <w:start w:val="6"/>
      <w:numFmt w:val="chineseCounting"/>
      <w:suff w:val="nothing"/>
      <w:lvlText w:val="%1、"/>
      <w:lvlJc w:val="left"/>
      <w:rPr>
        <w:rFonts w:hint="eastAsia"/>
      </w:rPr>
    </w:lvl>
  </w:abstractNum>
  <w:abstractNum w:abstractNumId="1">
    <w:nsid w:val="08E66382"/>
    <w:multiLevelType w:val="singleLevel"/>
    <w:tmpl w:val="08E66382"/>
    <w:lvl w:ilvl="0" w:tentative="0">
      <w:start w:val="1"/>
      <w:numFmt w:val="decimal"/>
      <w:suff w:val="nothing"/>
      <w:lvlText w:val="（%1）"/>
      <w:lvlJc w:val="left"/>
      <w:pPr>
        <w:ind w:left="560" w:leftChars="0" w:firstLine="0" w:firstLineChars="0"/>
      </w:pPr>
    </w:lvl>
  </w:abstractNum>
  <w:abstractNum w:abstractNumId="2">
    <w:nsid w:val="4162A70F"/>
    <w:multiLevelType w:val="singleLevel"/>
    <w:tmpl w:val="4162A70F"/>
    <w:lvl w:ilvl="0" w:tentative="0">
      <w:start w:val="1"/>
      <w:numFmt w:val="chineseCounting"/>
      <w:lvlText w:val="(%1)"/>
      <w:lvlJc w:val="left"/>
      <w:pPr>
        <w:tabs>
          <w:tab w:val="left" w:pos="312"/>
        </w:tabs>
      </w:pPr>
      <w:rPr>
        <w:rFonts w:hint="eastAsia"/>
      </w:rPr>
    </w:lvl>
  </w:abstractNum>
  <w:abstractNum w:abstractNumId="3">
    <w:nsid w:val="5FEC6177"/>
    <w:multiLevelType w:val="singleLevel"/>
    <w:tmpl w:val="5FEC6177"/>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000000"/>
    <w:rsid w:val="0EB789FB"/>
    <w:rsid w:val="17FB6185"/>
    <w:rsid w:val="37BFA734"/>
    <w:rsid w:val="3FBC3794"/>
    <w:rsid w:val="5F69A92A"/>
    <w:rsid w:val="5FEF29B0"/>
    <w:rsid w:val="6BFC8E9B"/>
    <w:rsid w:val="6C3FC2C8"/>
    <w:rsid w:val="6CCF75C7"/>
    <w:rsid w:val="6FEFF4D4"/>
    <w:rsid w:val="77B92CEF"/>
    <w:rsid w:val="78B4708C"/>
    <w:rsid w:val="A6FA4280"/>
    <w:rsid w:val="A9FF2573"/>
    <w:rsid w:val="CBE73737"/>
    <w:rsid w:val="CF7F23A1"/>
    <w:rsid w:val="DEBEDAB4"/>
    <w:rsid w:val="EF82FFFB"/>
    <w:rsid w:val="F7770A9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TotalTime>20</TotalTime>
  <ScaleCrop>false</ScaleCrop>
  <LinksUpToDate>false</LinksUpToDate>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2025-03-11T01:56:00Z</dcterms:created>
  <dc:creator>cgj-f15</dc:creator>
  <cp:lastModifiedBy>cgj-f15</cp:lastModifiedBy>
  <dcterms:modified xsi:type="dcterms:W3CDTF">2025-03-10T16:45:46Z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