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行政复议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适用自然人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申请人：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性别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民族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日生</w:t>
      </w: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住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（身份证地址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现住址）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电话号码。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×××律师事务所律师。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被申请人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单位全称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行政复议</w:t>
      </w:r>
      <w:r>
        <w:rPr>
          <w:rFonts w:hint="eastAsia" w:ascii="仿宋" w:hAnsi="仿宋" w:eastAsia="仿宋" w:cs="仿宋"/>
          <w:color w:val="auto"/>
          <w:sz w:val="32"/>
          <w:szCs w:val="24"/>
          <w:lang w:eastAsia="zh-CN"/>
        </w:rPr>
        <w:t>监督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请求：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事实和理由：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eastAsia="仿宋"/>
          <w:color w:val="auto"/>
          <w:sz w:val="32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（行政复议监督机关名称）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附件：1.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行政复议监督</w:t>
      </w:r>
      <w:r>
        <w:rPr>
          <w:rFonts w:hint="eastAsia" w:ascii="仿宋_GB2312" w:eastAsia="仿宋"/>
          <w:color w:val="auto"/>
          <w:sz w:val="32"/>
          <w:szCs w:val="24"/>
        </w:rPr>
        <w:t>申请书副本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2.申请人身份证明材料复印件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3.其他有关材料</w:t>
      </w:r>
      <w:r>
        <w:rPr>
          <w:rFonts w:hint="eastAsia" w:ascii="仿宋_GB2312" w:eastAsia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份（原行政复议申请书、不予受理</w:t>
      </w:r>
      <w:r>
        <w:rPr>
          <w:rFonts w:hint="default" w:ascii="仿宋_GB2312" w:eastAsia="仿宋"/>
          <w:color w:val="auto"/>
          <w:sz w:val="32"/>
          <w:szCs w:val="24"/>
          <w:lang w:val="en" w:eastAsia="zh-CN"/>
        </w:rPr>
        <w:t>或者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驳回申请的决定、具体行政行为相关证据等）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>5.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委托代理人的</w:t>
      </w:r>
      <w:r>
        <w:rPr>
          <w:rFonts w:hint="eastAsia" w:ascii="仿宋_GB2312" w:eastAsia="仿宋"/>
          <w:color w:val="auto"/>
          <w:sz w:val="32"/>
          <w:szCs w:val="24"/>
        </w:rPr>
        <w:t>身份证明材料复印件（有委托代理人的）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1481" w:firstLineChars="463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申请人（签名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盖章）：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××××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1481" w:firstLineChars="463"/>
        <w:jc w:val="center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（申请行政复议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监督</w:t>
      </w:r>
      <w:r>
        <w:rPr>
          <w:rFonts w:hint="eastAsia" w:ascii="仿宋_GB2312" w:eastAsia="仿宋"/>
          <w:color w:val="auto"/>
          <w:sz w:val="32"/>
          <w:szCs w:val="24"/>
        </w:rPr>
        <w:t>的日期）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日</w:t>
      </w:r>
    </w:p>
    <w:p>
      <w:r>
        <w:rPr>
          <w:rFonts w:hint="eastAsia" w:ascii="仿宋_GB2312" w:eastAsia="仿宋"/>
          <w:color w:val="auto"/>
          <w:sz w:val="32"/>
          <w:szCs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BD928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宋体" w:cs="Times New Roman"/>
      <w:color w:val="000000"/>
      <w:sz w:val="24"/>
      <w:szCs w:val="24"/>
      <w:lang w:val="en-US" w:eastAsia="zh-CN"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user</cp:lastModifiedBy>
  <dcterms:modified xsi:type="dcterms:W3CDTF">2024-03-18T16:30:47Z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