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承德市红十字会</w:t>
      </w:r>
    </w:p>
    <w:p>
      <w:pPr>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2018年部门预算公开情况说明</w:t>
      </w:r>
    </w:p>
    <w:p>
      <w:pPr>
        <w:ind w:firstLine="960" w:firstLineChars="3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，现将201</w:t>
      </w:r>
      <w:r>
        <w:rPr>
          <w:rFonts w:hint="eastAsia" w:ascii="仿宋" w:hAnsi="仿宋" w:eastAsia="仿宋" w:cs="Times New Roman"/>
          <w:sz w:val="32"/>
          <w:szCs w:val="32"/>
        </w:rPr>
        <w:t>8</w:t>
      </w:r>
      <w:r>
        <w:rPr>
          <w:rFonts w:ascii="仿宋" w:hAnsi="仿宋" w:eastAsia="仿宋" w:cs="Times New Roman"/>
          <w:sz w:val="32"/>
          <w:szCs w:val="32"/>
        </w:rPr>
        <w:t>年部门预算公开如下：</w:t>
      </w:r>
    </w:p>
    <w:p>
      <w:pPr>
        <w:spacing w:line="560" w:lineRule="exact"/>
        <w:ind w:firstLine="640" w:firstLineChars="200"/>
        <w:rPr>
          <w:rFonts w:hint="eastAsia" w:ascii="仿宋_GB2312" w:hAnsi="仿宋_GB2312" w:eastAsia="仿宋_GB2312" w:cs="仿宋_GB2312"/>
          <w:sz w:val="32"/>
          <w:szCs w:val="32"/>
        </w:rPr>
      </w:pPr>
    </w:p>
    <w:p>
      <w:pPr>
        <w:ind w:firstLine="43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一、部门职责和机构设置情况</w:t>
      </w:r>
    </w:p>
    <w:p>
      <w:pPr>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1.1主要职责</w:t>
      </w:r>
    </w:p>
    <w:p>
      <w:pPr>
        <w:pStyle w:val="5"/>
        <w:spacing w:line="432" w:lineRule="auto"/>
        <w:ind w:firstLine="627"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6"/>
          <w:sz w:val="32"/>
          <w:szCs w:val="32"/>
        </w:rPr>
        <w:t>认真贯彻执行《中华人民共和国红十字会法》和《中国红十字会章程》，指导和推动县区红十字会开展工作。</w:t>
      </w:r>
    </w:p>
    <w:p>
      <w:pPr>
        <w:pStyle w:val="5"/>
        <w:spacing w:line="432" w:lineRule="auto"/>
        <w:ind w:firstLine="650" w:firstLineChars="19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（二）、</w:t>
      </w:r>
      <w:r>
        <w:rPr>
          <w:rFonts w:hint="eastAsia" w:ascii="仿宋_GB2312" w:hAnsi="仿宋_GB2312" w:eastAsia="仿宋_GB2312" w:cs="仿宋_GB2312"/>
          <w:sz w:val="32"/>
          <w:szCs w:val="32"/>
        </w:rPr>
        <w:t>开展备灾救灾工作，在自然灾害和突发事件中，对伤病人员和受难者实施救助。</w:t>
      </w:r>
    </w:p>
    <w:p>
      <w:pPr>
        <w:pStyle w:val="5"/>
        <w:spacing w:line="432"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（三）、依法开展募捐活动，接受境内外组织和个人的捐赠。</w:t>
      </w:r>
    </w:p>
    <w:p>
      <w:pPr>
        <w:pStyle w:val="5"/>
        <w:spacing w:line="432"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（四）、普及卫生救护和防病知识，进行初级卫生救护培训，组织群众参加现场救护；依法开展预防艾滋病宣传工作。</w:t>
      </w:r>
    </w:p>
    <w:p>
      <w:pPr>
        <w:pStyle w:val="5"/>
        <w:spacing w:line="432" w:lineRule="auto"/>
        <w:ind w:firstLine="627" w:firstLineChars="196"/>
        <w:rPr>
          <w:rFonts w:hint="eastAsia" w:ascii="仿宋_GB2312" w:hAnsi="仿宋_GB2312" w:eastAsia="仿宋_GB2312" w:cs="仿宋_GB2312"/>
          <w:bCs/>
          <w:spacing w:val="6"/>
          <w:sz w:val="32"/>
          <w:szCs w:val="32"/>
        </w:rPr>
      </w:pPr>
      <w:r>
        <w:rPr>
          <w:rFonts w:hint="eastAsia" w:ascii="仿宋_GB2312" w:hAnsi="仿宋_GB2312" w:eastAsia="仿宋_GB2312" w:cs="仿宋_GB2312"/>
          <w:sz w:val="32"/>
          <w:szCs w:val="32"/>
        </w:rPr>
        <w:t>（五）、开展有益于青少年身心健康、弘扬人道主义精神的红十字青少年活动。</w:t>
      </w:r>
    </w:p>
    <w:p>
      <w:pPr>
        <w:pStyle w:val="5"/>
        <w:spacing w:line="43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（六）、加强与国际红十字组织的友好合作与往来，宣传国际红十字和红新月运动的基本原则和日内瓦公约及其附加议定书，并依照相关规定开展工作。</w:t>
      </w:r>
    </w:p>
    <w:p>
      <w:pPr>
        <w:pStyle w:val="5"/>
        <w:spacing w:line="43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（七）、开展采集造血干细胞工作。</w:t>
      </w:r>
    </w:p>
    <w:p>
      <w:pPr>
        <w:pStyle w:val="5"/>
        <w:spacing w:line="432"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（八）、依法开展人体器官捐献和眼角膜捐献工作。</w:t>
      </w:r>
    </w:p>
    <w:p>
      <w:pPr>
        <w:pStyle w:val="5"/>
        <w:spacing w:line="432"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（九）、依据《中华人民共和国献血法》的规定，推动无偿献血。</w:t>
      </w:r>
    </w:p>
    <w:p>
      <w:pPr>
        <w:pStyle w:val="5"/>
        <w:spacing w:line="432"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（十）、协助政府开展对台工作，促进两岸红十字会组织的交流与合作。</w:t>
      </w:r>
    </w:p>
    <w:p>
      <w:pPr>
        <w:pStyle w:val="5"/>
        <w:spacing w:line="43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hint="eastAsia" w:ascii="仿宋_GB2312" w:hAnsi="仿宋_GB2312" w:eastAsia="仿宋_GB2312" w:cs="仿宋_GB2312"/>
          <w:spacing w:val="6"/>
          <w:sz w:val="32"/>
          <w:szCs w:val="32"/>
        </w:rPr>
        <w:t>完成上级红十字会和同级</w:t>
      </w:r>
      <w:r>
        <w:rPr>
          <w:rFonts w:hint="eastAsia" w:ascii="仿宋_GB2312" w:hAnsi="仿宋_GB2312" w:eastAsia="仿宋_GB2312" w:cs="仿宋_GB2312"/>
          <w:sz w:val="32"/>
          <w:szCs w:val="32"/>
        </w:rPr>
        <w:t>人民政府委托事宜。</w:t>
      </w:r>
    </w:p>
    <w:p>
      <w:pPr>
        <w:pStyle w:val="5"/>
        <w:spacing w:line="432"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w:t>
      </w:r>
      <w:r>
        <w:rPr>
          <w:rFonts w:hint="eastAsia" w:ascii="仿宋_GB2312" w:hAnsi="仿宋_GB2312" w:eastAsia="仿宋_GB2312" w:cs="仿宋_GB2312"/>
          <w:spacing w:val="6"/>
          <w:sz w:val="32"/>
          <w:szCs w:val="32"/>
        </w:rPr>
        <w:t>组织会员、志愿工作者开展社会服务活动及</w:t>
      </w:r>
      <w:r>
        <w:rPr>
          <w:rFonts w:hint="eastAsia" w:ascii="仿宋_GB2312" w:hAnsi="仿宋_GB2312" w:eastAsia="仿宋_GB2312" w:cs="仿宋_GB2312"/>
          <w:sz w:val="32"/>
          <w:szCs w:val="32"/>
        </w:rPr>
        <w:t>其他人道主义服务活动。</w:t>
      </w:r>
    </w:p>
    <w:p>
      <w:pPr>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1.2部门机构设置情况</w:t>
      </w:r>
    </w:p>
    <w:tbl>
      <w:tblPr>
        <w:tblStyle w:val="7"/>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708"/>
        <w:gridCol w:w="2256"/>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w:t>
            </w:r>
          </w:p>
        </w:tc>
        <w:tc>
          <w:tcPr>
            <w:tcW w:w="1708"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单位性质</w:t>
            </w:r>
          </w:p>
        </w:tc>
        <w:tc>
          <w:tcPr>
            <w:tcW w:w="2256"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单位规格</w:t>
            </w:r>
          </w:p>
        </w:tc>
        <w:tc>
          <w:tcPr>
            <w:tcW w:w="2256"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经费保障形式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承德市红十字会</w:t>
            </w:r>
          </w:p>
          <w:p>
            <w:pPr>
              <w:rPr>
                <w:rFonts w:hint="eastAsia" w:ascii="仿宋_GB2312" w:hAnsi="仿宋_GB2312" w:eastAsia="仿宋_GB2312" w:cs="仿宋_GB2312"/>
                <w:kern w:val="0"/>
                <w:sz w:val="32"/>
                <w:szCs w:val="32"/>
              </w:rPr>
            </w:pPr>
          </w:p>
        </w:tc>
        <w:tc>
          <w:tcPr>
            <w:tcW w:w="1708" w:type="dxa"/>
          </w:tcPr>
          <w:p>
            <w:pP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全额事业</w:t>
            </w:r>
          </w:p>
        </w:tc>
        <w:tc>
          <w:tcPr>
            <w:tcW w:w="2256"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副处级</w:t>
            </w:r>
          </w:p>
        </w:tc>
        <w:tc>
          <w:tcPr>
            <w:tcW w:w="2256" w:type="dxa"/>
          </w:tcPr>
          <w:p>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财政性资金基本保证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承德市少儿互助金管理办公室。</w:t>
            </w:r>
          </w:p>
        </w:tc>
        <w:tc>
          <w:tcPr>
            <w:tcW w:w="1708" w:type="dxa"/>
          </w:tcPr>
          <w:p>
            <w:pP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全额事业</w:t>
            </w:r>
          </w:p>
        </w:tc>
        <w:tc>
          <w:tcPr>
            <w:tcW w:w="2256" w:type="dxa"/>
          </w:tcPr>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正科级</w:t>
            </w:r>
          </w:p>
        </w:tc>
        <w:tc>
          <w:tcPr>
            <w:tcW w:w="2256" w:type="dxa"/>
          </w:tcPr>
          <w:p>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财政性资金基本保证</w:t>
            </w:r>
          </w:p>
        </w:tc>
      </w:tr>
    </w:tbl>
    <w:p>
      <w:pPr>
        <w:rPr>
          <w:rFonts w:hint="eastAsia" w:ascii="仿宋_GB2312" w:hAnsi="仿宋_GB2312" w:eastAsia="仿宋_GB2312" w:cs="仿宋_GB2312"/>
          <w:kern w:val="0"/>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内设机构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承德市红十字会内设机构包括业务部、办公室、财务部、少儿医疗互助金管理办公室。</w:t>
      </w:r>
    </w:p>
    <w:p>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1.3预算单位构成情况</w:t>
      </w:r>
    </w:p>
    <w:p>
      <w:pP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市本级部门预算。</w:t>
      </w:r>
    </w:p>
    <w:p>
      <w:pPr>
        <w:ind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二、2018年部门预算安排的总体情况</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按照预算管理有关规定，目前我省部门预算的编制实行综合预算制度，即全部收入和支出都反映的预算中。河北省及所属事业单位的收支包含在部门预算中。</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1、收入说明</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反应</w:t>
      </w:r>
      <w:r>
        <w:rPr>
          <w:rFonts w:hint="eastAsia" w:ascii="仿宋_GB2312" w:hAnsi="仿宋_GB2312" w:eastAsia="仿宋_GB2312" w:cs="仿宋_GB2312"/>
          <w:sz w:val="32"/>
          <w:szCs w:val="32"/>
        </w:rPr>
        <w:t>承德市红十字会</w:t>
      </w:r>
      <w:r>
        <w:rPr>
          <w:rFonts w:hint="eastAsia" w:ascii="仿宋_GB2312" w:hAnsi="仿宋_GB2312" w:eastAsia="仿宋_GB2312" w:cs="仿宋_GB2312"/>
          <w:i w:val="0"/>
          <w:caps w:val="0"/>
          <w:color w:val="000000"/>
          <w:spacing w:val="0"/>
          <w:kern w:val="0"/>
          <w:sz w:val="32"/>
          <w:szCs w:val="32"/>
          <w:shd w:val="clear" w:fill="FFFFFF"/>
          <w:lang w:val="en-US" w:eastAsia="zh-CN" w:bidi="ar"/>
        </w:rPr>
        <w:t>本部门当年全部收入。2018年预算收入</w:t>
      </w:r>
      <w:r>
        <w:rPr>
          <w:rFonts w:hint="eastAsia" w:ascii="仿宋_GB2312" w:hAnsi="仿宋_GB2312" w:eastAsia="仿宋_GB2312" w:cs="仿宋_GB2312"/>
          <w:sz w:val="32"/>
          <w:szCs w:val="32"/>
        </w:rPr>
        <w:t>249.89</w:t>
      </w:r>
      <w:r>
        <w:rPr>
          <w:rFonts w:hint="eastAsia" w:ascii="仿宋_GB2312" w:hAnsi="仿宋_GB2312" w:eastAsia="仿宋_GB2312" w:cs="仿宋_GB2312"/>
          <w:i w:val="0"/>
          <w:caps w:val="0"/>
          <w:color w:val="000000"/>
          <w:spacing w:val="0"/>
          <w:kern w:val="0"/>
          <w:sz w:val="32"/>
          <w:szCs w:val="32"/>
          <w:shd w:val="clear" w:fill="FFFFFF"/>
          <w:lang w:val="en-US" w:eastAsia="zh-CN" w:bidi="ar"/>
        </w:rPr>
        <w:t>万元，其中：一般公共预算收入</w:t>
      </w:r>
      <w:r>
        <w:rPr>
          <w:rFonts w:hint="eastAsia" w:ascii="仿宋_GB2312" w:hAnsi="仿宋_GB2312" w:eastAsia="仿宋_GB2312" w:cs="仿宋_GB2312"/>
          <w:sz w:val="32"/>
          <w:szCs w:val="32"/>
        </w:rPr>
        <w:t>249.89</w:t>
      </w:r>
      <w:r>
        <w:rPr>
          <w:rFonts w:hint="eastAsia" w:ascii="仿宋_GB2312" w:hAnsi="仿宋_GB2312" w:eastAsia="仿宋_GB2312" w:cs="仿宋_GB2312"/>
          <w:i w:val="0"/>
          <w:caps w:val="0"/>
          <w:color w:val="000000"/>
          <w:spacing w:val="0"/>
          <w:kern w:val="0"/>
          <w:sz w:val="32"/>
          <w:szCs w:val="32"/>
          <w:shd w:val="clear" w:fill="FFFFFF"/>
          <w:lang w:val="en-US" w:eastAsia="zh-CN" w:bidi="ar"/>
        </w:rPr>
        <w:t>万元，基金预算收入0万元，财政专户核拨收入0万元，其他来源收入0万元。</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2、支出说明</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收支预算总表支出栏、基本支出表、项目支出表按经济分类和支出功能分类科目编制，反映承德市红十字会年度部门预算中支出预算的总体情况。2018年部门支出预算为</w:t>
      </w:r>
      <w:r>
        <w:rPr>
          <w:rFonts w:hint="eastAsia" w:ascii="仿宋_GB2312" w:hAnsi="仿宋_GB2312" w:eastAsia="仿宋_GB2312" w:cs="仿宋_GB2312"/>
          <w:sz w:val="32"/>
          <w:szCs w:val="32"/>
        </w:rPr>
        <w:t>249.89</w:t>
      </w:r>
      <w:r>
        <w:rPr>
          <w:rFonts w:hint="eastAsia" w:ascii="仿宋_GB2312" w:hAnsi="仿宋_GB2312" w:eastAsia="仿宋_GB2312" w:cs="仿宋_GB2312"/>
          <w:i w:val="0"/>
          <w:caps w:val="0"/>
          <w:color w:val="000000"/>
          <w:spacing w:val="0"/>
          <w:kern w:val="0"/>
          <w:sz w:val="32"/>
          <w:szCs w:val="32"/>
          <w:shd w:val="clear" w:fill="FFFFFF"/>
          <w:lang w:val="en-US" w:eastAsia="zh-CN" w:bidi="ar"/>
        </w:rPr>
        <w:t>万元，其中基本支出89.89万元，包括人员经费82.89万元和日常公用经费7.05万元；公务运转和专项项目支出160万元，主要为政府巩固卖服务大学生应急救护培训支出5万元，备灾救灾物资运输储备支出5万元，博爱一日捐救灾救助支出150万元。</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3、比上年增减情况</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2018年，部门预算收入安排</w:t>
      </w:r>
      <w:r>
        <w:rPr>
          <w:rFonts w:hint="eastAsia" w:ascii="仿宋_GB2312" w:hAnsi="仿宋_GB2312" w:eastAsia="仿宋_GB2312" w:cs="仿宋_GB2312"/>
          <w:color w:val="auto"/>
          <w:sz w:val="32"/>
          <w:szCs w:val="32"/>
        </w:rPr>
        <w:t>249.89</w:t>
      </w:r>
      <w:r>
        <w:rPr>
          <w:rFonts w:hint="eastAsia" w:ascii="仿宋_GB2312" w:hAnsi="仿宋_GB2312" w:eastAsia="仿宋_GB2312" w:cs="仿宋_GB2312"/>
          <w:i w:val="0"/>
          <w:caps w:val="0"/>
          <w:color w:val="auto"/>
          <w:spacing w:val="0"/>
          <w:kern w:val="0"/>
          <w:sz w:val="32"/>
          <w:szCs w:val="32"/>
          <w:shd w:val="clear" w:fill="FFFFFF"/>
          <w:lang w:val="en-US" w:eastAsia="zh-CN" w:bidi="ar"/>
        </w:rPr>
        <w:t>万元，较2017年相比减少5.49万元，主要原因为：</w:t>
      </w:r>
      <w:r>
        <w:rPr>
          <w:rFonts w:hint="eastAsia" w:ascii="仿宋_GB2312" w:hAnsi="仿宋_GB2312" w:eastAsia="仿宋_GB2312" w:cs="仿宋_GB2312"/>
          <w:color w:val="auto"/>
          <w:sz w:val="32"/>
          <w:szCs w:val="32"/>
        </w:rPr>
        <w:t>本年度有一人退休，新调入的人员工资标准较低；</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2018年，部门支出预算为</w:t>
      </w:r>
      <w:r>
        <w:rPr>
          <w:rFonts w:hint="eastAsia" w:ascii="仿宋_GB2312" w:hAnsi="仿宋_GB2312" w:eastAsia="仿宋_GB2312" w:cs="仿宋_GB2312"/>
          <w:color w:val="auto"/>
          <w:sz w:val="32"/>
          <w:szCs w:val="32"/>
        </w:rPr>
        <w:t>249.89</w:t>
      </w:r>
      <w:r>
        <w:rPr>
          <w:rFonts w:hint="eastAsia" w:ascii="仿宋_GB2312" w:hAnsi="仿宋_GB2312" w:eastAsia="仿宋_GB2312" w:cs="仿宋_GB2312"/>
          <w:i w:val="0"/>
          <w:caps w:val="0"/>
          <w:color w:val="auto"/>
          <w:spacing w:val="0"/>
          <w:kern w:val="0"/>
          <w:sz w:val="32"/>
          <w:szCs w:val="32"/>
          <w:shd w:val="clear" w:fill="FFFFFF"/>
          <w:lang w:val="en-US" w:eastAsia="zh-CN" w:bidi="ar"/>
        </w:rPr>
        <w:t>万元，其中基本支出较2017年相比减少5.49万元，主要原因为：</w:t>
      </w:r>
      <w:r>
        <w:rPr>
          <w:rFonts w:hint="eastAsia" w:ascii="仿宋_GB2312" w:hAnsi="仿宋_GB2312" w:eastAsia="仿宋_GB2312" w:cs="仿宋_GB2312"/>
          <w:color w:val="auto"/>
          <w:sz w:val="32"/>
          <w:szCs w:val="32"/>
        </w:rPr>
        <w:t>本年度有一人退休，新调入的人员工资标准较低；</w:t>
      </w:r>
    </w:p>
    <w:p>
      <w:pPr>
        <w:keepNext w:val="0"/>
        <w:keepLines w:val="0"/>
        <w:widowControl/>
        <w:suppressLineNumbers w:val="0"/>
        <w:shd w:val="clear" w:fill="FFFFFF"/>
        <w:spacing w:before="0" w:beforeAutospacing="0" w:after="0" w:afterAutospacing="0" w:line="240" w:lineRule="auto"/>
        <w:ind w:left="0" w:right="0" w:firstLine="640"/>
        <w:jc w:val="both"/>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color w:val="auto"/>
          <w:sz w:val="32"/>
          <w:szCs w:val="32"/>
          <w:lang w:val="en-US" w:eastAsia="zh-CN"/>
        </w:rPr>
        <w:t>2018年，</w:t>
      </w:r>
      <w:r>
        <w:rPr>
          <w:rFonts w:hint="eastAsia" w:ascii="仿宋_GB2312" w:hAnsi="仿宋_GB2312" w:eastAsia="仿宋_GB2312" w:cs="仿宋_GB2312"/>
          <w:i w:val="0"/>
          <w:caps w:val="0"/>
          <w:color w:val="auto"/>
          <w:spacing w:val="0"/>
          <w:kern w:val="0"/>
          <w:sz w:val="32"/>
          <w:szCs w:val="32"/>
          <w:shd w:val="clear" w:fill="FFFFFF"/>
          <w:lang w:val="en-US" w:eastAsia="zh-CN" w:bidi="ar"/>
        </w:rPr>
        <w:t>项目支出</w:t>
      </w:r>
      <w:r>
        <w:rPr>
          <w:rFonts w:hint="eastAsia" w:ascii="仿宋_GB2312" w:hAnsi="仿宋_GB2312" w:eastAsia="仿宋_GB2312" w:cs="仿宋_GB2312"/>
          <w:color w:val="auto"/>
          <w:sz w:val="32"/>
          <w:szCs w:val="32"/>
        </w:rPr>
        <w:t>较上年持平，无增减变化</w:t>
      </w:r>
      <w:r>
        <w:rPr>
          <w:rFonts w:hint="eastAsia" w:ascii="仿宋_GB2312" w:hAnsi="仿宋_GB2312" w:eastAsia="仿宋_GB2312" w:cs="仿宋_GB2312"/>
          <w:color w:val="auto"/>
          <w:sz w:val="32"/>
          <w:szCs w:val="32"/>
          <w:lang w:eastAsia="zh-CN"/>
        </w:rPr>
        <w:t>。</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三、2018年机关运行经费安排情况</w:t>
      </w:r>
    </w:p>
    <w:p>
      <w:pPr>
        <w:autoSpaceDE w:val="0"/>
        <w:autoSpaceDN w:val="0"/>
        <w:adjustRightInd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2018年，承德市红十字会部门机关运行经费共计安排</w:t>
      </w:r>
      <w:r>
        <w:rPr>
          <w:rFonts w:hint="eastAsia" w:ascii="仿宋_GB2312" w:hAnsi="仿宋_GB2312" w:eastAsia="仿宋_GB2312" w:cs="仿宋_GB2312"/>
          <w:sz w:val="32"/>
          <w:szCs w:val="32"/>
          <w:lang w:val="en-US" w:eastAsia="zh-CN"/>
        </w:rPr>
        <w:t>7.05万</w:t>
      </w:r>
      <w:r>
        <w:rPr>
          <w:rFonts w:hint="eastAsia" w:ascii="仿宋_GB2312" w:hAnsi="仿宋_GB2312" w:eastAsia="仿宋_GB2312" w:cs="仿宋_GB2312"/>
          <w:sz w:val="32"/>
          <w:szCs w:val="32"/>
        </w:rPr>
        <w:t>元，主要用于保证机关正常运转的办公及印刷费、邮电费、差旅费、会议费、福利费、</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rPr>
        <w:t>办公用房水电费、办公用房取暖费、日常维修费、公务车运行维护费等支出。</w:t>
      </w:r>
    </w:p>
    <w:p>
      <w:pPr>
        <w:numPr>
          <w:ilvl w:val="0"/>
          <w:numId w:val="1"/>
        </w:numPr>
        <w:ind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财政拨款“三公”经费预算情况及增减变化原因</w:t>
      </w:r>
    </w:p>
    <w:p>
      <w:pPr>
        <w:autoSpaceDE w:val="0"/>
        <w:autoSpaceDN w:val="0"/>
        <w:adjustRightInd w:val="0"/>
        <w:ind w:left="198"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2018年，财政拨款“三公”经费预算安排</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sz w:val="32"/>
          <w:szCs w:val="32"/>
        </w:rPr>
        <w:t>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万元；公务用车购置及运维费</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万元（其中：公务用车运行维护费</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万元，公务用车购置费0万元)；公务接待费</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万元。“三公”经费与上年持平，无增减变化。</w:t>
      </w:r>
    </w:p>
    <w:p>
      <w:pPr>
        <w:spacing w:line="4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公务车辆购置及保有情况:本年购置公务用车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辆，年末公务用车保有量</w:t>
      </w:r>
      <w:r>
        <w:rPr>
          <w:rFonts w:hint="eastAsia" w:ascii="仿宋_GB2312" w:hAnsi="仿宋_GB2312" w:eastAsia="仿宋_GB2312" w:cs="仿宋_GB2312"/>
          <w:sz w:val="32"/>
          <w:szCs w:val="32"/>
          <w:u w:val="single"/>
        </w:rPr>
        <w:t xml:space="preserve">  2 </w:t>
      </w:r>
      <w:r>
        <w:rPr>
          <w:rFonts w:hint="eastAsia" w:ascii="仿宋_GB2312" w:hAnsi="仿宋_GB2312" w:eastAsia="仿宋_GB2312" w:cs="仿宋_GB2312"/>
          <w:sz w:val="32"/>
          <w:szCs w:val="32"/>
        </w:rPr>
        <w:t>辆。</w:t>
      </w:r>
    </w:p>
    <w:p>
      <w:pPr>
        <w:ind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五、绩效预算信息</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总体</w:t>
      </w:r>
      <w:r>
        <w:rPr>
          <w:rFonts w:hint="eastAsia" w:ascii="仿宋_GB2312" w:hAnsi="仿宋_GB2312" w:eastAsia="仿宋_GB2312" w:cs="仿宋_GB2312"/>
          <w:b/>
          <w:bCs/>
          <w:sz w:val="32"/>
          <w:szCs w:val="32"/>
        </w:rPr>
        <w:t>年度发展规划目标</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2018年承德市红十字会工作的指导思想和总体思路是：在市委、市政府和省红十字会的指导下，在各级有关部门和社会各界的大力支持下，以党的十九大</w:t>
      </w:r>
      <w:bookmarkStart w:id="1" w:name="_GoBack"/>
      <w:bookmarkEnd w:id="1"/>
      <w:r>
        <w:rPr>
          <w:rFonts w:hint="eastAsia" w:ascii="仿宋_GB2312" w:hAnsi="仿宋_GB2312" w:eastAsia="仿宋_GB2312" w:cs="仿宋_GB2312"/>
          <w:sz w:val="32"/>
          <w:szCs w:val="32"/>
        </w:rPr>
        <w:t>精神为指导，</w:t>
      </w:r>
    </w:p>
    <w:p>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贯彻落实《中华人民共和国红十字会法》、《十三五红十字事业发展规划》、和省政府《关于加快红十字会事业发展的实施意见》</w:t>
      </w:r>
      <w:r>
        <w:rPr>
          <w:rFonts w:hint="eastAsia" w:ascii="仿宋_GB2312" w:hAnsi="仿宋_GB2312" w:eastAsia="仿宋_GB2312" w:cs="仿宋_GB2312"/>
          <w:sz w:val="32"/>
          <w:szCs w:val="32"/>
          <w:lang w:eastAsia="zh-CN"/>
        </w:rPr>
        <w:t>。</w:t>
      </w:r>
    </w:p>
    <w:p>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认真落实市委市政府重大决策部署，推进“三救三献”和人道法传播等各项核心业务。</w:t>
      </w:r>
    </w:p>
    <w:p>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人道救助工作要抓精准、抓统筹、抓品牌；应急救援工作抓队伍、抓机制、抓管理；应急救护培训工作抓巩固、抓深化、抓拓展</w:t>
      </w:r>
      <w:r>
        <w:rPr>
          <w:rFonts w:hint="eastAsia" w:ascii="仿宋_GB2312" w:hAnsi="仿宋_GB2312" w:eastAsia="仿宋_GB2312" w:cs="仿宋_GB2312"/>
          <w:sz w:val="32"/>
          <w:szCs w:val="32"/>
          <w:lang w:eastAsia="zh-CN"/>
        </w:rPr>
        <w:t>。</w:t>
      </w:r>
    </w:p>
    <w:p>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“三献”工作抓宣传、抓提质规范</w:t>
      </w:r>
    </w:p>
    <w:p>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推进博爱家园项目的实施</w:t>
      </w:r>
      <w:r>
        <w:rPr>
          <w:rFonts w:hint="eastAsia" w:ascii="仿宋_GB2312" w:hAnsi="仿宋_GB2312" w:eastAsia="仿宋_GB2312" w:cs="仿宋_GB2312"/>
          <w:sz w:val="32"/>
          <w:szCs w:val="32"/>
          <w:lang w:eastAsia="zh-CN"/>
        </w:rPr>
        <w:t>。</w:t>
      </w:r>
    </w:p>
    <w:p>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进一步推动政府购买服务高校大学生应急救护培训工作。</w:t>
      </w:r>
      <w:r>
        <w:rPr>
          <w:rFonts w:hint="eastAsia" w:ascii="仿宋_GB2312" w:hAnsi="仿宋_GB2312" w:eastAsia="仿宋_GB2312" w:cs="仿宋_GB2312"/>
          <w:sz w:val="32"/>
          <w:szCs w:val="32"/>
        </w:rPr>
        <w:t xml:space="preserv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6"/>
          <w:sz w:val="32"/>
          <w:szCs w:val="32"/>
        </w:rPr>
        <w:t>（二）、</w:t>
      </w:r>
      <w:r>
        <w:rPr>
          <w:rFonts w:hint="eastAsia" w:ascii="仿宋_GB2312" w:hAnsi="仿宋_GB2312" w:eastAsia="仿宋_GB2312" w:cs="仿宋_GB2312"/>
          <w:b/>
          <w:bCs/>
          <w:sz w:val="32"/>
          <w:szCs w:val="32"/>
        </w:rPr>
        <w:t xml:space="preserve"> 职责分类绩效目标</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1、认真贯彻执行《中华人民共和国红十字会法》和《中国红十字会章程》，指导县区红十字会开展活动，推进县级红十字会理顺管理体制及各项工作的开展。</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2、建立健全应急救援体系，建立应急救护培训长效机制，提高人道救助能力。</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3、加强无偿献血、造血干细胞捐献、遗体和人造器官捐献工作的进一步开展。</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4、开展红十字青少年活动，广泛宣传《中华人民共和国红十字会法》，发展红十字志愿者，</w:t>
      </w:r>
      <w:r>
        <w:rPr>
          <w:rFonts w:hint="eastAsia" w:ascii="仿宋_GB2312" w:hAnsi="仿宋_GB2312" w:eastAsia="仿宋_GB2312" w:cs="仿宋_GB2312"/>
          <w:sz w:val="32"/>
          <w:szCs w:val="32"/>
          <w:lang w:eastAsia="zh-CN"/>
        </w:rPr>
        <w:t>推动“三献”工作，</w:t>
      </w:r>
      <w:r>
        <w:rPr>
          <w:rFonts w:hint="eastAsia" w:ascii="仿宋_GB2312" w:hAnsi="仿宋_GB2312" w:eastAsia="仿宋_GB2312" w:cs="仿宋_GB2312"/>
          <w:sz w:val="32"/>
          <w:szCs w:val="32"/>
        </w:rPr>
        <w:t>不断扩大红十字影响。</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5、项目工作抓落实、抓推进</w:t>
      </w:r>
      <w:r>
        <w:rPr>
          <w:rFonts w:hint="eastAsia" w:ascii="仿宋_GB2312" w:hAnsi="仿宋_GB2312" w:eastAsia="仿宋_GB2312" w:cs="仿宋_GB2312"/>
          <w:sz w:val="32"/>
          <w:szCs w:val="32"/>
          <w:lang w:eastAsia="zh-CN"/>
        </w:rPr>
        <w:t>，积极争取总会博爱家园等项目申报工作、确保项目落地贫困县、贫困村</w:t>
      </w:r>
      <w:r>
        <w:rPr>
          <w:rFonts w:hint="eastAsia" w:ascii="仿宋_GB2312" w:hAnsi="仿宋_GB2312" w:eastAsia="仿宋_GB2312" w:cs="仿宋_GB2312"/>
          <w:sz w:val="32"/>
          <w:szCs w:val="32"/>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确定一所高校，开展</w:t>
      </w:r>
      <w:r>
        <w:rPr>
          <w:rFonts w:hint="eastAsia" w:ascii="仿宋_GB2312" w:hAnsi="仿宋_GB2312" w:eastAsia="仿宋_GB2312" w:cs="仿宋_GB2312"/>
          <w:sz w:val="32"/>
          <w:szCs w:val="32"/>
        </w:rPr>
        <w:t>大学生应急救护培训工作，不断壮大培训师资队伍，加大新生培训的力度，</w:t>
      </w:r>
      <w:r>
        <w:rPr>
          <w:rFonts w:hint="eastAsia" w:ascii="仿宋_GB2312" w:hAnsi="仿宋_GB2312" w:eastAsia="仿宋_GB2312" w:cs="仿宋_GB2312"/>
          <w:sz w:val="32"/>
          <w:szCs w:val="32"/>
          <w:lang w:eastAsia="zh-CN"/>
        </w:rPr>
        <w:t>培训心肺复苏、包扎搬运等技能，更好的服务社会</w:t>
      </w:r>
      <w:r>
        <w:rPr>
          <w:rFonts w:hint="eastAsia" w:ascii="仿宋_GB2312" w:hAnsi="仿宋_GB2312" w:eastAsia="仿宋_GB2312" w:cs="仿宋_GB2312"/>
          <w:sz w:val="32"/>
          <w:szCs w:val="32"/>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321" w:firstLine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（三）、实现年度发展规划目标的保障措施</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为完成2018年工作目标，重点做好以下</w:t>
      </w:r>
      <w:r>
        <w:rPr>
          <w:rFonts w:hint="eastAsia" w:ascii="仿宋_GB2312" w:hAnsi="仿宋_GB2312" w:eastAsia="仿宋_GB2312" w:cs="仿宋_GB2312"/>
          <w:sz w:val="32"/>
          <w:szCs w:val="32"/>
          <w:lang w:eastAsia="zh-CN"/>
        </w:rPr>
        <w:t>几项</w:t>
      </w:r>
      <w:r>
        <w:rPr>
          <w:rFonts w:hint="eastAsia" w:ascii="仿宋_GB2312" w:hAnsi="仿宋_GB2312" w:eastAsia="仿宋_GB2312" w:cs="仿宋_GB2312"/>
          <w:sz w:val="32"/>
          <w:szCs w:val="32"/>
        </w:rPr>
        <w:t>工作：</w:t>
      </w:r>
    </w:p>
    <w:p>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利用媒体网络宣传《中华人民共和国红十字会法》、《中国红十字会章程》</w:t>
      </w:r>
      <w:r>
        <w:rPr>
          <w:rFonts w:hint="eastAsia" w:ascii="仿宋_GB2312" w:hAnsi="仿宋_GB2312" w:eastAsia="仿宋_GB2312" w:cs="仿宋_GB2312"/>
          <w:sz w:val="32"/>
          <w:szCs w:val="32"/>
          <w:lang w:eastAsia="zh-CN"/>
        </w:rPr>
        <w:t>。</w:t>
      </w:r>
    </w:p>
    <w:p>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加强救助资金的募捐和统筹，继续开展好“博爱一日捐”活动，积极募集资金，整合爱心资源，着力打造便民利民救助平台。</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建立完善应急救援队伍建设，完善“一网四库”，相互对备灾救灾物资的管理，逐步建立起管理规范业务专业、行动迅速的应急救援队伍，全面提升我市红十字系统应急救援能力。</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3、持之以恒抓生命工程建设，抓造血干细胞捐献、人体器官捐献捐献的宣传和动员工作，传播人道、博爱、奉献精神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降低反悔率和临捐反悔现象。</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通过进学校进社区以红十字青少年夏令营等形式，开展宣传和实践活动。</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积极推进红总会的博爱家园项目，落实项目资金</w:t>
      </w:r>
      <w:r>
        <w:rPr>
          <w:rFonts w:hint="eastAsia" w:ascii="仿宋_GB2312" w:hAnsi="仿宋_GB2312" w:eastAsia="仿宋_GB2312" w:cs="仿宋_GB2312"/>
          <w:sz w:val="32"/>
          <w:szCs w:val="32"/>
          <w:lang w:eastAsia="zh-CN"/>
        </w:rPr>
        <w:t>到位，</w:t>
      </w:r>
      <w:r>
        <w:rPr>
          <w:rFonts w:hint="eastAsia" w:ascii="仿宋_GB2312" w:hAnsi="仿宋_GB2312" w:eastAsia="仿宋_GB2312" w:cs="仿宋_GB2312"/>
          <w:sz w:val="32"/>
          <w:szCs w:val="32"/>
        </w:rPr>
        <w:t>并督促按项目</w:t>
      </w:r>
      <w:r>
        <w:rPr>
          <w:rFonts w:hint="eastAsia" w:ascii="仿宋_GB2312" w:hAnsi="仿宋_GB2312" w:eastAsia="仿宋_GB2312" w:cs="仿宋_GB2312"/>
          <w:sz w:val="32"/>
          <w:szCs w:val="32"/>
          <w:lang w:eastAsia="zh-CN"/>
        </w:rPr>
        <w:t>计划书和项目</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6、严格师资培训，扩大师资队伍建设，培训和辅导在校新生掌握初级卫生救护培训的基本技能，通过理论、实操、考核、演讲等形式强化技能。</w:t>
      </w:r>
    </w:p>
    <w:p>
      <w:pPr>
        <w:autoSpaceDE w:val="0"/>
        <w:autoSpaceDN w:val="0"/>
        <w:adjustRightInd w:val="0"/>
        <w:ind w:left="198" w:firstLine="643" w:firstLineChars="200"/>
        <w:jc w:val="left"/>
        <w:rPr>
          <w:rFonts w:ascii="Times New Roman" w:hAnsi="Times New Roman" w:eastAsia="仿宋" w:cs="Times New Roman"/>
          <w:b/>
          <w:sz w:val="32"/>
          <w:szCs w:val="32"/>
        </w:rPr>
      </w:pPr>
      <w:r>
        <w:rPr>
          <w:rFonts w:hint="eastAsia" w:eastAsia="仿宋" w:cs="Times New Roman"/>
          <w:b/>
          <w:sz w:val="32"/>
          <w:szCs w:val="32"/>
          <w:lang w:eastAsia="zh-CN"/>
        </w:rPr>
        <w:t>（四）、</w:t>
      </w:r>
      <w:r>
        <w:rPr>
          <w:rFonts w:hint="eastAsia" w:ascii="Times New Roman" w:hAnsi="Times New Roman" w:eastAsia="仿宋" w:cs="Times New Roman"/>
          <w:b/>
          <w:sz w:val="32"/>
          <w:szCs w:val="32"/>
        </w:rPr>
        <w:t>部门职责及工作活动绩效目标指标：</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500" w:lineRule="exact"/>
        <w:ind w:firstLine="560"/>
        <w:rPr>
          <w:rFonts w:hint="eastAsia" w:ascii="仿宋_GB2312" w:hAnsi="仿宋_GB2312" w:eastAsia="仿宋_GB2312" w:cs="仿宋_GB2312"/>
          <w:sz w:val="32"/>
          <w:szCs w:val="32"/>
        </w:rPr>
      </w:pPr>
    </w:p>
    <w:tbl>
      <w:tblPr>
        <w:tblStyle w:val="6"/>
        <w:tblW w:w="17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2"/>
        <w:gridCol w:w="431"/>
        <w:gridCol w:w="470"/>
        <w:gridCol w:w="953"/>
        <w:gridCol w:w="1143"/>
        <w:gridCol w:w="992"/>
        <w:gridCol w:w="431"/>
        <w:gridCol w:w="832"/>
        <w:gridCol w:w="1851"/>
        <w:gridCol w:w="1610"/>
        <w:gridCol w:w="585"/>
        <w:gridCol w:w="1228"/>
        <w:gridCol w:w="1807"/>
        <w:gridCol w:w="992"/>
        <w:gridCol w:w="992"/>
        <w:gridCol w:w="992"/>
        <w:gridCol w:w="1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7640" w:type="dxa"/>
            <w:gridSpan w:val="17"/>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部门职责——工作活动绩效目标汇总表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部门编码</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部门名称</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部门职责编码</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部门职责名称</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部门职责要点描述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部门职责绩效目标</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工作活动编码</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工作活动名称</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工作活动要点描述</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工作活动绩效目标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指标分类</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工作活动绩效指标</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绩效指标解释</w:t>
            </w:r>
          </w:p>
        </w:tc>
        <w:tc>
          <w:tcPr>
            <w:tcW w:w="4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绩效指标评价标准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中</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445</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承德市红十字会</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01</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社会救助</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建立健全应急救援体系，建立应急救护培训长效机制，提高人道救助能力</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提升备灾救灾能力，普及应急救护知识，增强救助力度</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01</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应急救援</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建立健全红十字会应急救援体系，设立备灾救灾仓库，储备备灾物资，组建应急救援队。开展自然灾害的救助及突发事件的应急救援，参与灾后重建。</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增强备灾救灾能力，完成救灾及应急救援任务。</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储备备灾、救灾物资数量</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采购一定数量的备灾救灾物资</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完成</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组建、完善应急救援队伍数</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组建专业救援队数量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02</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应急救护</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建立红十字应急救护培训长效机制，积极推动红十字救护培训进社区、进农村、进学校、进企业、进机关，参加总会应急救护大赛。</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积极推动红十字救护培训，开展高校大学生应急救护培训，推进应急救护培训"五进"工作。</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培训新入学大学生数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培训当年入学新生人数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培训初级救护员数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在高校培训初级救护员人数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培训救护培训师资数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培训全市及高校救护培训师资人数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效果指标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培训通过率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培训新入学大学生、初级救护人员、救护培训师等考核通过率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03</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人道救助</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建向社会大力募集资金，建立专项救助基金。面向困难群体开展符合其宗旨的人道救助工作，重点救助患病儿童及困难群众。</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建立专项救助基金，使更多的贫困家庭、患病儿童得到救助。</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专项救助基金救助人数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专项救助基金救助的人数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募集资金数额</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专项救助基金面向社会募集金额数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效果指标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救助对象满意度</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救助对象满意率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财政资金带动效应</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财政资金投入带动社会资金的募集。计算方法：带动的社会资金投入数/财政资金投入数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≥70%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02</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红十字会事业发展</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认真贯彻执行《中华人民共和国红十字会法》和《中国红十字会章程》，推动红十字各项工作的开展</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加强无偿献血、造血干细胞捐献、遗体和人体器官捐献工作；积极参与国际红十字运动，开展红十字青少年活动，广泛宣传《中华人民共和国红十字会法》，发展红十字志愿者，不断扩大红十字会影响</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01</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“三献”工作</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加强造血干细胞捐献资料库建设、全面开展遗体和人体器官捐献工作。</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扩大造血干细胞库容量；建立健全我市遗体和人体器官捐献工作体系。</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招募干细胞志愿者数量</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宣传、动员招募干细胞志愿者的数量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采集入库血样数据</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宣传、动员招募干细胞志愿者采集入库血样数据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干细胞志愿者捐献例数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干细胞志愿者捐献的例数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人体器官捐献例数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人体器官捐献的例数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效果指标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控制血样流失率和捐献反悔率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剔除不合格血样，降低流失率和反悔率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挽救危重患者例数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获取器官挽救患者生命人数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02</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国际人道援助和志愿者工作</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加强与国际红十字及港澳台组织在人道救援、志愿服务、红十字青少年等方面交流与合作。积极参与国际红十字运动，发展红十字志愿者，不断扩大红十字会影响。</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加强与国际红十字及港澳台组织在人道救援、志愿服务、红十字青少年等方面交流与合作。积极参与国际红十字运动，发展红十字志愿者。</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红十字青少年骨干交流人数</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高校红十字青少年骨干交流人数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开展防灾避险知识竞赛人数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开展防灾避险知识竞赛人数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≥2000人</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≥1900人</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≥1800万人</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＜1800人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效果指标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交流活动参与者满意度</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各项交流活动参与者的满意度情况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≥70%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防灾避险知识知晓率</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通过参加防灾避险知识竞赛群众相关知识知晓率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03</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红十字会综合事务工作</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指导设区市红十字会开展全市性活动，广泛宣传《中华人民共和国红十字会法》和红十字工作，积极参与国际红十字运动。</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《中华人民共和国红十字会法》得到贯彻执行，各市按期完成总会及市红十字会部署的工作，全市红十字标志使用及冠名医疗单位管理规范，加强与国际红十字组织的交流与合作</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产出指标</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《中华人民共和国红十字会法》和红十字工作宣传次数</w:t>
            </w:r>
          </w:p>
        </w:tc>
        <w:tc>
          <w:tcPr>
            <w:tcW w:w="1807"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宣传《中华人民共和国红十字会法》、红十字标志使用规范等次数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≥95%</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1807" w:type="dxa"/>
            <w:vMerge w:val="continue"/>
            <w:tcBorders>
              <w:top w:val="single" w:color="000000" w:sz="4" w:space="0"/>
              <w:left w:val="single" w:color="000000" w:sz="4" w:space="0"/>
              <w:bottom w:val="single" w:color="000000" w:sz="4" w:space="0"/>
            </w:tcBorders>
            <w:shd w:val="clear" w:color="auto" w:fill="auto"/>
            <w:vAlign w:val="center"/>
          </w:tcPr>
          <w:p>
            <w:pPr>
              <w:jc w:val="left"/>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32"/>
                <w:szCs w:val="32"/>
                <w:u w:val="none"/>
              </w:rPr>
            </w:pPr>
          </w:p>
        </w:tc>
      </w:tr>
    </w:tbl>
    <w:p>
      <w:pPr>
        <w:numPr>
          <w:ilvl w:val="0"/>
          <w:numId w:val="0"/>
        </w:numPr>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六、政府采购预算情况</w:t>
      </w:r>
    </w:p>
    <w:p>
      <w:pPr>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政府购买服务大学生应急救护培训购买专用材料</w:t>
      </w:r>
      <w:r>
        <w:rPr>
          <w:rFonts w:hint="eastAsia" w:ascii="仿宋_GB2312" w:hAnsi="仿宋_GB2312" w:eastAsia="仿宋_GB2312" w:cs="仿宋_GB2312"/>
          <w:sz w:val="32"/>
          <w:szCs w:val="32"/>
          <w:lang w:eastAsia="zh-CN"/>
        </w:rPr>
        <w:t>，安排政府采购</w:t>
      </w:r>
      <w:r>
        <w:rPr>
          <w:rFonts w:hint="eastAsia" w:ascii="仿宋_GB2312" w:hAnsi="仿宋_GB2312" w:eastAsia="仿宋_GB2312" w:cs="仿宋_GB2312"/>
          <w:sz w:val="32"/>
          <w:szCs w:val="32"/>
        </w:rPr>
        <w:t>预算资金0.5万元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具体内容详见下表：</w:t>
      </w:r>
    </w:p>
    <w:p>
      <w:pPr>
        <w:ind w:firstLine="6403" w:firstLineChars="2000"/>
        <w:jc w:val="both"/>
        <w:outlineLvl w:val="0"/>
        <w:rPr>
          <w:rFonts w:hint="eastAsia" w:ascii="仿宋_GB2312" w:hAnsi="仿宋_GB2312" w:eastAsia="仿宋_GB2312" w:cs="仿宋_GB2312"/>
          <w:sz w:val="32"/>
          <w:szCs w:val="32"/>
          <w:lang w:val="en-US" w:eastAsia="zh-CN"/>
        </w:rPr>
      </w:pPr>
      <w:bookmarkStart w:id="0" w:name="_Toc503971530"/>
      <w:r>
        <w:rPr>
          <w:rFonts w:hint="eastAsia" w:ascii="方正小标宋_GBK" w:eastAsia="方正小标宋_GBK"/>
          <w:b/>
          <w:bCs/>
          <w:sz w:val="32"/>
        </w:rPr>
        <w:t>部门政府采购预算</w:t>
      </w:r>
      <w:bookmarkEnd w:id="0"/>
    </w:p>
    <w:tbl>
      <w:tblPr>
        <w:tblStyle w:val="6"/>
        <w:tblpPr w:leftFromText="180" w:rightFromText="180" w:vertAnchor="text" w:horzAnchor="page" w:tblpX="1107" w:tblpY="678"/>
        <w:tblOverlap w:val="never"/>
        <w:tblW w:w="145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1"/>
        <w:gridCol w:w="1052"/>
        <w:gridCol w:w="1252"/>
        <w:gridCol w:w="1199"/>
        <w:gridCol w:w="714"/>
        <w:gridCol w:w="742"/>
        <w:gridCol w:w="859"/>
        <w:gridCol w:w="887"/>
        <w:gridCol w:w="916"/>
        <w:gridCol w:w="916"/>
        <w:gridCol w:w="916"/>
        <w:gridCol w:w="919"/>
        <w:gridCol w:w="919"/>
        <w:gridCol w:w="8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5" w:hRule="atLeast"/>
          <w:tblHeader/>
        </w:trPr>
        <w:tc>
          <w:tcPr>
            <w:tcW w:w="3453" w:type="dxa"/>
            <w:gridSpan w:val="2"/>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政府采购项目来源</w:t>
            </w:r>
          </w:p>
        </w:tc>
        <w:tc>
          <w:tcPr>
            <w:tcW w:w="1252"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采购物品名称</w:t>
            </w:r>
          </w:p>
        </w:tc>
        <w:tc>
          <w:tcPr>
            <w:tcW w:w="1199"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政府采购目录序号</w:t>
            </w:r>
          </w:p>
        </w:tc>
        <w:tc>
          <w:tcPr>
            <w:tcW w:w="714"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数量单位</w:t>
            </w:r>
          </w:p>
        </w:tc>
        <w:tc>
          <w:tcPr>
            <w:tcW w:w="742"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c>
          <w:tcPr>
            <w:tcW w:w="859"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单价</w:t>
            </w:r>
          </w:p>
        </w:tc>
        <w:tc>
          <w:tcPr>
            <w:tcW w:w="6349" w:type="dxa"/>
            <w:gridSpan w:val="7"/>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0" w:hRule="atLeast"/>
          <w:tblHeader/>
        </w:trPr>
        <w:tc>
          <w:tcPr>
            <w:tcW w:w="2401"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p>
        </w:tc>
        <w:tc>
          <w:tcPr>
            <w:tcW w:w="1052"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预算资金</w:t>
            </w:r>
          </w:p>
        </w:tc>
        <w:tc>
          <w:tcPr>
            <w:tcW w:w="1252"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1199"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714"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742"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859"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887"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总计</w:t>
            </w:r>
          </w:p>
        </w:tc>
        <w:tc>
          <w:tcPr>
            <w:tcW w:w="4586" w:type="dxa"/>
            <w:gridSpan w:val="5"/>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当年部门预算安排资金</w:t>
            </w:r>
          </w:p>
        </w:tc>
        <w:tc>
          <w:tcPr>
            <w:tcW w:w="876" w:type="dxa"/>
            <w:vMerge w:val="restart"/>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35" w:hRule="atLeast"/>
          <w:tblHeader/>
        </w:trPr>
        <w:tc>
          <w:tcPr>
            <w:tcW w:w="2401"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1052"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1252"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1199"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714"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742"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859"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887" w:type="dxa"/>
            <w:vMerge w:val="continue"/>
            <w:vAlign w:val="center"/>
          </w:tcPr>
          <w:p>
            <w:pPr>
              <w:spacing w:line="300" w:lineRule="exact"/>
              <w:jc w:val="left"/>
              <w:outlineLvl w:val="0"/>
              <w:rPr>
                <w:rFonts w:hint="eastAsia" w:ascii="仿宋_GB2312" w:hAnsi="仿宋_GB2312" w:eastAsia="仿宋_GB2312" w:cs="仿宋_GB2312"/>
                <w:sz w:val="32"/>
                <w:szCs w:val="32"/>
              </w:rPr>
            </w:pPr>
          </w:p>
        </w:tc>
        <w:tc>
          <w:tcPr>
            <w:tcW w:w="916" w:type="dxa"/>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合计</w:t>
            </w:r>
          </w:p>
        </w:tc>
        <w:tc>
          <w:tcPr>
            <w:tcW w:w="916" w:type="dxa"/>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一般公共预算拨款</w:t>
            </w:r>
          </w:p>
        </w:tc>
        <w:tc>
          <w:tcPr>
            <w:tcW w:w="916" w:type="dxa"/>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基金预算拨款</w:t>
            </w:r>
          </w:p>
        </w:tc>
        <w:tc>
          <w:tcPr>
            <w:tcW w:w="919" w:type="dxa"/>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财政专户核拨</w:t>
            </w:r>
          </w:p>
        </w:tc>
        <w:tc>
          <w:tcPr>
            <w:tcW w:w="919" w:type="dxa"/>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其他来源收入</w:t>
            </w:r>
          </w:p>
        </w:tc>
        <w:tc>
          <w:tcPr>
            <w:tcW w:w="876" w:type="dxa"/>
            <w:vMerge w:val="continue"/>
            <w:vAlign w:val="center"/>
          </w:tcPr>
          <w:p>
            <w:pPr>
              <w:spacing w:line="300" w:lineRule="exact"/>
              <w:jc w:val="left"/>
              <w:outlineLvl w:val="0"/>
              <w:rPr>
                <w:rFonts w:hint="eastAsia" w:ascii="仿宋_GB2312" w:hAnsi="仿宋_GB2312" w:eastAsia="仿宋_GB2312" w:cs="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trPr>
        <w:tc>
          <w:tcPr>
            <w:tcW w:w="2401" w:type="dxa"/>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　计</w:t>
            </w:r>
          </w:p>
        </w:tc>
        <w:tc>
          <w:tcPr>
            <w:tcW w:w="1052" w:type="dxa"/>
            <w:vAlign w:val="center"/>
          </w:tcPr>
          <w:p>
            <w:pPr>
              <w:spacing w:line="300" w:lineRule="exact"/>
              <w:jc w:val="right"/>
              <w:rPr>
                <w:rFonts w:hint="eastAsia" w:ascii="仿宋_GB2312" w:hAnsi="仿宋_GB2312" w:eastAsia="仿宋_GB2312" w:cs="仿宋_GB2312"/>
                <w:b/>
                <w:sz w:val="32"/>
                <w:szCs w:val="32"/>
              </w:rPr>
            </w:pPr>
          </w:p>
        </w:tc>
        <w:tc>
          <w:tcPr>
            <w:tcW w:w="1252" w:type="dxa"/>
            <w:vAlign w:val="center"/>
          </w:tcPr>
          <w:p>
            <w:pPr>
              <w:spacing w:line="300" w:lineRule="exact"/>
              <w:jc w:val="left"/>
              <w:rPr>
                <w:rFonts w:hint="eastAsia" w:ascii="仿宋_GB2312" w:hAnsi="仿宋_GB2312" w:eastAsia="仿宋_GB2312" w:cs="仿宋_GB2312"/>
                <w:b/>
                <w:sz w:val="32"/>
                <w:szCs w:val="32"/>
              </w:rPr>
            </w:pPr>
          </w:p>
        </w:tc>
        <w:tc>
          <w:tcPr>
            <w:tcW w:w="1199" w:type="dxa"/>
            <w:vAlign w:val="center"/>
          </w:tcPr>
          <w:p>
            <w:pPr>
              <w:spacing w:line="300" w:lineRule="exact"/>
              <w:jc w:val="left"/>
              <w:rPr>
                <w:rFonts w:hint="eastAsia" w:ascii="仿宋_GB2312" w:hAnsi="仿宋_GB2312" w:eastAsia="仿宋_GB2312" w:cs="仿宋_GB2312"/>
                <w:b/>
                <w:sz w:val="32"/>
                <w:szCs w:val="32"/>
              </w:rPr>
            </w:pPr>
          </w:p>
        </w:tc>
        <w:tc>
          <w:tcPr>
            <w:tcW w:w="714" w:type="dxa"/>
            <w:vAlign w:val="center"/>
          </w:tcPr>
          <w:p>
            <w:pPr>
              <w:spacing w:line="300" w:lineRule="exact"/>
              <w:jc w:val="left"/>
              <w:rPr>
                <w:rFonts w:hint="eastAsia" w:ascii="仿宋_GB2312" w:hAnsi="仿宋_GB2312" w:eastAsia="仿宋_GB2312" w:cs="仿宋_GB2312"/>
                <w:b/>
                <w:sz w:val="32"/>
                <w:szCs w:val="32"/>
              </w:rPr>
            </w:pPr>
          </w:p>
        </w:tc>
        <w:tc>
          <w:tcPr>
            <w:tcW w:w="742" w:type="dxa"/>
            <w:vAlign w:val="center"/>
          </w:tcPr>
          <w:p>
            <w:pPr>
              <w:spacing w:line="300" w:lineRule="exact"/>
              <w:jc w:val="right"/>
              <w:rPr>
                <w:rFonts w:hint="eastAsia" w:ascii="仿宋_GB2312" w:hAnsi="仿宋_GB2312" w:eastAsia="仿宋_GB2312" w:cs="仿宋_GB2312"/>
                <w:b/>
                <w:sz w:val="32"/>
                <w:szCs w:val="32"/>
              </w:rPr>
            </w:pPr>
          </w:p>
        </w:tc>
        <w:tc>
          <w:tcPr>
            <w:tcW w:w="859" w:type="dxa"/>
            <w:vAlign w:val="center"/>
          </w:tcPr>
          <w:p>
            <w:pPr>
              <w:spacing w:line="300" w:lineRule="exact"/>
              <w:jc w:val="right"/>
              <w:rPr>
                <w:rFonts w:hint="eastAsia" w:ascii="仿宋_GB2312" w:hAnsi="仿宋_GB2312" w:eastAsia="仿宋_GB2312" w:cs="仿宋_GB2312"/>
                <w:b/>
                <w:sz w:val="32"/>
                <w:szCs w:val="32"/>
              </w:rPr>
            </w:pPr>
          </w:p>
        </w:tc>
        <w:tc>
          <w:tcPr>
            <w:tcW w:w="887" w:type="dxa"/>
            <w:vAlign w:val="center"/>
          </w:tcPr>
          <w:p>
            <w:pPr>
              <w:spacing w:line="300" w:lineRule="exact"/>
              <w:jc w:val="righ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0.5</w:t>
            </w:r>
          </w:p>
        </w:tc>
        <w:tc>
          <w:tcPr>
            <w:tcW w:w="916" w:type="dxa"/>
            <w:vAlign w:val="center"/>
          </w:tcPr>
          <w:p>
            <w:pPr>
              <w:spacing w:line="300" w:lineRule="exact"/>
              <w:jc w:val="righ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0.5</w:t>
            </w:r>
          </w:p>
        </w:tc>
        <w:tc>
          <w:tcPr>
            <w:tcW w:w="916" w:type="dxa"/>
            <w:vAlign w:val="center"/>
          </w:tcPr>
          <w:p>
            <w:pPr>
              <w:spacing w:line="300" w:lineRule="exact"/>
              <w:jc w:val="righ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0.5</w:t>
            </w:r>
          </w:p>
        </w:tc>
        <w:tc>
          <w:tcPr>
            <w:tcW w:w="916" w:type="dxa"/>
            <w:vAlign w:val="center"/>
          </w:tcPr>
          <w:p>
            <w:pPr>
              <w:spacing w:line="300" w:lineRule="exact"/>
              <w:jc w:val="right"/>
              <w:rPr>
                <w:rFonts w:hint="eastAsia" w:ascii="仿宋_GB2312" w:hAnsi="仿宋_GB2312" w:eastAsia="仿宋_GB2312" w:cs="仿宋_GB2312"/>
                <w:b/>
                <w:sz w:val="32"/>
                <w:szCs w:val="32"/>
              </w:rPr>
            </w:pPr>
          </w:p>
        </w:tc>
        <w:tc>
          <w:tcPr>
            <w:tcW w:w="919" w:type="dxa"/>
            <w:vAlign w:val="center"/>
          </w:tcPr>
          <w:p>
            <w:pPr>
              <w:spacing w:line="300" w:lineRule="exact"/>
              <w:jc w:val="right"/>
              <w:rPr>
                <w:rFonts w:hint="eastAsia" w:ascii="仿宋_GB2312" w:hAnsi="仿宋_GB2312" w:eastAsia="仿宋_GB2312" w:cs="仿宋_GB2312"/>
                <w:b/>
                <w:sz w:val="32"/>
                <w:szCs w:val="32"/>
              </w:rPr>
            </w:pPr>
          </w:p>
        </w:tc>
        <w:tc>
          <w:tcPr>
            <w:tcW w:w="919" w:type="dxa"/>
            <w:vAlign w:val="center"/>
          </w:tcPr>
          <w:p>
            <w:pPr>
              <w:spacing w:line="300" w:lineRule="exact"/>
              <w:jc w:val="right"/>
              <w:rPr>
                <w:rFonts w:hint="eastAsia" w:ascii="仿宋_GB2312" w:hAnsi="仿宋_GB2312" w:eastAsia="仿宋_GB2312" w:cs="仿宋_GB2312"/>
                <w:b/>
                <w:sz w:val="32"/>
                <w:szCs w:val="32"/>
              </w:rPr>
            </w:pPr>
          </w:p>
        </w:tc>
        <w:tc>
          <w:tcPr>
            <w:tcW w:w="876" w:type="dxa"/>
            <w:vAlign w:val="center"/>
          </w:tcPr>
          <w:p>
            <w:pPr>
              <w:spacing w:line="300" w:lineRule="exact"/>
              <w:jc w:val="right"/>
              <w:rPr>
                <w:rFonts w:hint="eastAsia" w:ascii="仿宋_GB2312" w:hAnsi="仿宋_GB2312" w:eastAsia="仿宋_GB2312" w:cs="仿宋_GB2312"/>
                <w:b/>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5" w:hRule="atLeast"/>
        </w:trPr>
        <w:tc>
          <w:tcPr>
            <w:tcW w:w="2401" w:type="dxa"/>
            <w:vAlign w:val="center"/>
          </w:tcPr>
          <w:p>
            <w:pPr>
              <w:spacing w:line="3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承德市红十字会</w:t>
            </w:r>
            <w:r>
              <w:rPr>
                <w:rFonts w:hint="eastAsia" w:ascii="仿宋_GB2312" w:hAnsi="仿宋_GB2312" w:eastAsia="仿宋_GB2312" w:cs="仿宋_GB2312"/>
                <w:b/>
                <w:sz w:val="32"/>
                <w:szCs w:val="32"/>
                <w:lang w:eastAsia="zh-CN"/>
              </w:rPr>
              <w:t>小计</w:t>
            </w:r>
          </w:p>
        </w:tc>
        <w:tc>
          <w:tcPr>
            <w:tcW w:w="1052" w:type="dxa"/>
            <w:vAlign w:val="center"/>
          </w:tcPr>
          <w:p>
            <w:pPr>
              <w:spacing w:line="300" w:lineRule="exact"/>
              <w:jc w:val="right"/>
              <w:rPr>
                <w:rFonts w:hint="eastAsia" w:ascii="仿宋_GB2312" w:hAnsi="仿宋_GB2312" w:eastAsia="仿宋_GB2312" w:cs="仿宋_GB2312"/>
                <w:b/>
                <w:sz w:val="32"/>
                <w:szCs w:val="32"/>
              </w:rPr>
            </w:pPr>
          </w:p>
        </w:tc>
        <w:tc>
          <w:tcPr>
            <w:tcW w:w="1252" w:type="dxa"/>
            <w:vAlign w:val="center"/>
          </w:tcPr>
          <w:p>
            <w:pPr>
              <w:spacing w:line="300" w:lineRule="exact"/>
              <w:jc w:val="left"/>
              <w:rPr>
                <w:rFonts w:hint="eastAsia" w:ascii="仿宋_GB2312" w:hAnsi="仿宋_GB2312" w:eastAsia="仿宋_GB2312" w:cs="仿宋_GB2312"/>
                <w:b/>
                <w:sz w:val="32"/>
                <w:szCs w:val="32"/>
              </w:rPr>
            </w:pPr>
          </w:p>
        </w:tc>
        <w:tc>
          <w:tcPr>
            <w:tcW w:w="1199" w:type="dxa"/>
            <w:vAlign w:val="center"/>
          </w:tcPr>
          <w:p>
            <w:pPr>
              <w:spacing w:line="300" w:lineRule="exact"/>
              <w:jc w:val="left"/>
              <w:rPr>
                <w:rFonts w:hint="eastAsia" w:ascii="仿宋_GB2312" w:hAnsi="仿宋_GB2312" w:eastAsia="仿宋_GB2312" w:cs="仿宋_GB2312"/>
                <w:b/>
                <w:sz w:val="32"/>
                <w:szCs w:val="32"/>
              </w:rPr>
            </w:pPr>
          </w:p>
        </w:tc>
        <w:tc>
          <w:tcPr>
            <w:tcW w:w="714" w:type="dxa"/>
            <w:vAlign w:val="center"/>
          </w:tcPr>
          <w:p>
            <w:pPr>
              <w:spacing w:line="300" w:lineRule="exact"/>
              <w:jc w:val="left"/>
              <w:rPr>
                <w:rFonts w:hint="eastAsia" w:ascii="仿宋_GB2312" w:hAnsi="仿宋_GB2312" w:eastAsia="仿宋_GB2312" w:cs="仿宋_GB2312"/>
                <w:b/>
                <w:sz w:val="32"/>
                <w:szCs w:val="32"/>
              </w:rPr>
            </w:pPr>
          </w:p>
        </w:tc>
        <w:tc>
          <w:tcPr>
            <w:tcW w:w="742" w:type="dxa"/>
            <w:vAlign w:val="center"/>
          </w:tcPr>
          <w:p>
            <w:pPr>
              <w:spacing w:line="300" w:lineRule="exact"/>
              <w:jc w:val="right"/>
              <w:rPr>
                <w:rFonts w:hint="eastAsia" w:ascii="仿宋_GB2312" w:hAnsi="仿宋_GB2312" w:eastAsia="仿宋_GB2312" w:cs="仿宋_GB2312"/>
                <w:b/>
                <w:sz w:val="32"/>
                <w:szCs w:val="32"/>
              </w:rPr>
            </w:pPr>
          </w:p>
        </w:tc>
        <w:tc>
          <w:tcPr>
            <w:tcW w:w="859" w:type="dxa"/>
            <w:vAlign w:val="center"/>
          </w:tcPr>
          <w:p>
            <w:pPr>
              <w:spacing w:line="300" w:lineRule="exact"/>
              <w:jc w:val="right"/>
              <w:rPr>
                <w:rFonts w:hint="eastAsia" w:ascii="仿宋_GB2312" w:hAnsi="仿宋_GB2312" w:eastAsia="仿宋_GB2312" w:cs="仿宋_GB2312"/>
                <w:b/>
                <w:sz w:val="32"/>
                <w:szCs w:val="32"/>
              </w:rPr>
            </w:pPr>
          </w:p>
        </w:tc>
        <w:tc>
          <w:tcPr>
            <w:tcW w:w="887" w:type="dxa"/>
            <w:vAlign w:val="center"/>
          </w:tcPr>
          <w:p>
            <w:pPr>
              <w:spacing w:line="300" w:lineRule="exact"/>
              <w:jc w:val="righ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0.5</w:t>
            </w:r>
          </w:p>
        </w:tc>
        <w:tc>
          <w:tcPr>
            <w:tcW w:w="916" w:type="dxa"/>
            <w:vAlign w:val="center"/>
          </w:tcPr>
          <w:p>
            <w:pPr>
              <w:spacing w:line="300" w:lineRule="exact"/>
              <w:jc w:val="righ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0.5</w:t>
            </w:r>
          </w:p>
        </w:tc>
        <w:tc>
          <w:tcPr>
            <w:tcW w:w="916" w:type="dxa"/>
            <w:vAlign w:val="center"/>
          </w:tcPr>
          <w:p>
            <w:pPr>
              <w:spacing w:line="300" w:lineRule="exact"/>
              <w:jc w:val="righ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0.5</w:t>
            </w:r>
          </w:p>
        </w:tc>
        <w:tc>
          <w:tcPr>
            <w:tcW w:w="916" w:type="dxa"/>
            <w:vAlign w:val="center"/>
          </w:tcPr>
          <w:p>
            <w:pPr>
              <w:spacing w:line="300" w:lineRule="exact"/>
              <w:jc w:val="right"/>
              <w:rPr>
                <w:rFonts w:hint="eastAsia" w:ascii="仿宋_GB2312" w:hAnsi="仿宋_GB2312" w:eastAsia="仿宋_GB2312" w:cs="仿宋_GB2312"/>
                <w:b/>
                <w:sz w:val="32"/>
                <w:szCs w:val="32"/>
              </w:rPr>
            </w:pPr>
          </w:p>
        </w:tc>
        <w:tc>
          <w:tcPr>
            <w:tcW w:w="919" w:type="dxa"/>
            <w:vAlign w:val="center"/>
          </w:tcPr>
          <w:p>
            <w:pPr>
              <w:spacing w:line="300" w:lineRule="exact"/>
              <w:jc w:val="right"/>
              <w:rPr>
                <w:rFonts w:hint="eastAsia" w:ascii="仿宋_GB2312" w:hAnsi="仿宋_GB2312" w:eastAsia="仿宋_GB2312" w:cs="仿宋_GB2312"/>
                <w:b/>
                <w:sz w:val="32"/>
                <w:szCs w:val="32"/>
              </w:rPr>
            </w:pPr>
          </w:p>
        </w:tc>
        <w:tc>
          <w:tcPr>
            <w:tcW w:w="919" w:type="dxa"/>
            <w:vAlign w:val="center"/>
          </w:tcPr>
          <w:p>
            <w:pPr>
              <w:spacing w:line="300" w:lineRule="exact"/>
              <w:jc w:val="right"/>
              <w:rPr>
                <w:rFonts w:hint="eastAsia" w:ascii="仿宋_GB2312" w:hAnsi="仿宋_GB2312" w:eastAsia="仿宋_GB2312" w:cs="仿宋_GB2312"/>
                <w:b/>
                <w:sz w:val="32"/>
                <w:szCs w:val="32"/>
              </w:rPr>
            </w:pPr>
          </w:p>
        </w:tc>
        <w:tc>
          <w:tcPr>
            <w:tcW w:w="876" w:type="dxa"/>
            <w:vAlign w:val="center"/>
          </w:tcPr>
          <w:p>
            <w:pPr>
              <w:spacing w:line="300" w:lineRule="exact"/>
              <w:jc w:val="right"/>
              <w:rPr>
                <w:rFonts w:hint="eastAsia" w:ascii="仿宋_GB2312" w:hAnsi="仿宋_GB2312" w:eastAsia="仿宋_GB2312" w:cs="仿宋_GB2312"/>
                <w:b/>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0" w:hRule="atLeast"/>
        </w:trPr>
        <w:tc>
          <w:tcPr>
            <w:tcW w:w="2401" w:type="dxa"/>
            <w:vAlign w:val="center"/>
          </w:tcPr>
          <w:p>
            <w:pPr>
              <w:spacing w:line="3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政府购买服务大学生应急救护培训</w:t>
            </w:r>
            <w:r>
              <w:rPr>
                <w:rFonts w:hint="eastAsia" w:ascii="仿宋_GB2312" w:hAnsi="仿宋_GB2312" w:eastAsia="仿宋_GB2312" w:cs="仿宋_GB2312"/>
                <w:sz w:val="32"/>
                <w:szCs w:val="32"/>
              </w:rPr>
              <w:t>经费</w:t>
            </w:r>
          </w:p>
        </w:tc>
        <w:tc>
          <w:tcPr>
            <w:tcW w:w="1052" w:type="dxa"/>
            <w:vAlign w:val="center"/>
          </w:tcPr>
          <w:p>
            <w:pPr>
              <w:spacing w:line="300" w:lineRule="exact"/>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0.32</w:t>
            </w:r>
          </w:p>
        </w:tc>
        <w:tc>
          <w:tcPr>
            <w:tcW w:w="1252" w:type="dxa"/>
            <w:vAlign w:val="center"/>
          </w:tcPr>
          <w:p>
            <w:pPr>
              <w:spacing w:line="3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全身模拟人</w:t>
            </w:r>
          </w:p>
        </w:tc>
        <w:tc>
          <w:tcPr>
            <w:tcW w:w="1199" w:type="dxa"/>
            <w:vAlign w:val="center"/>
          </w:tcPr>
          <w:p>
            <w:pPr>
              <w:spacing w:line="3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C1901</w:t>
            </w:r>
          </w:p>
        </w:tc>
        <w:tc>
          <w:tcPr>
            <w:tcW w:w="714" w:type="dxa"/>
            <w:vAlign w:val="center"/>
          </w:tcPr>
          <w:p>
            <w:pPr>
              <w:spacing w:line="3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742" w:type="dxa"/>
            <w:vAlign w:val="center"/>
          </w:tcPr>
          <w:p>
            <w:pPr>
              <w:spacing w:line="30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59" w:type="dxa"/>
            <w:vAlign w:val="center"/>
          </w:tcPr>
          <w:p>
            <w:pPr>
              <w:spacing w:line="30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0.16</w:t>
            </w:r>
          </w:p>
        </w:tc>
        <w:tc>
          <w:tcPr>
            <w:tcW w:w="887" w:type="dxa"/>
            <w:vAlign w:val="center"/>
          </w:tcPr>
          <w:p>
            <w:pPr>
              <w:spacing w:line="30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0.32</w:t>
            </w:r>
          </w:p>
        </w:tc>
        <w:tc>
          <w:tcPr>
            <w:tcW w:w="916" w:type="dxa"/>
            <w:vAlign w:val="center"/>
          </w:tcPr>
          <w:p>
            <w:pPr>
              <w:spacing w:line="30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0.32</w:t>
            </w:r>
          </w:p>
        </w:tc>
        <w:tc>
          <w:tcPr>
            <w:tcW w:w="916" w:type="dxa"/>
            <w:vAlign w:val="center"/>
          </w:tcPr>
          <w:p>
            <w:pPr>
              <w:spacing w:line="3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0.32</w:t>
            </w:r>
          </w:p>
        </w:tc>
        <w:tc>
          <w:tcPr>
            <w:tcW w:w="916" w:type="dxa"/>
            <w:vAlign w:val="center"/>
          </w:tcPr>
          <w:p>
            <w:pPr>
              <w:spacing w:line="300" w:lineRule="exact"/>
              <w:jc w:val="right"/>
              <w:rPr>
                <w:rFonts w:hint="eastAsia" w:ascii="仿宋_GB2312" w:hAnsi="仿宋_GB2312" w:eastAsia="仿宋_GB2312" w:cs="仿宋_GB2312"/>
                <w:sz w:val="32"/>
                <w:szCs w:val="32"/>
              </w:rPr>
            </w:pPr>
          </w:p>
        </w:tc>
        <w:tc>
          <w:tcPr>
            <w:tcW w:w="919" w:type="dxa"/>
            <w:vAlign w:val="center"/>
          </w:tcPr>
          <w:p>
            <w:pPr>
              <w:spacing w:line="300" w:lineRule="exact"/>
              <w:jc w:val="right"/>
              <w:rPr>
                <w:rFonts w:hint="eastAsia" w:ascii="仿宋_GB2312" w:hAnsi="仿宋_GB2312" w:eastAsia="仿宋_GB2312" w:cs="仿宋_GB2312"/>
                <w:sz w:val="32"/>
                <w:szCs w:val="32"/>
              </w:rPr>
            </w:pPr>
          </w:p>
        </w:tc>
        <w:tc>
          <w:tcPr>
            <w:tcW w:w="919" w:type="dxa"/>
            <w:vAlign w:val="center"/>
          </w:tcPr>
          <w:p>
            <w:pPr>
              <w:spacing w:line="300" w:lineRule="exact"/>
              <w:jc w:val="right"/>
              <w:rPr>
                <w:rFonts w:hint="eastAsia" w:ascii="仿宋_GB2312" w:hAnsi="仿宋_GB2312" w:eastAsia="仿宋_GB2312" w:cs="仿宋_GB2312"/>
                <w:sz w:val="32"/>
                <w:szCs w:val="32"/>
              </w:rPr>
            </w:pPr>
          </w:p>
        </w:tc>
        <w:tc>
          <w:tcPr>
            <w:tcW w:w="876" w:type="dxa"/>
            <w:vAlign w:val="center"/>
          </w:tcPr>
          <w:p>
            <w:pPr>
              <w:spacing w:line="300" w:lineRule="exact"/>
              <w:jc w:val="right"/>
              <w:rPr>
                <w:rFonts w:hint="eastAsia" w:ascii="仿宋_GB2312" w:hAnsi="仿宋_GB2312" w:eastAsia="仿宋_GB2312" w:cs="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50" w:hRule="atLeast"/>
        </w:trPr>
        <w:tc>
          <w:tcPr>
            <w:tcW w:w="2401" w:type="dxa"/>
            <w:vAlign w:val="center"/>
          </w:tcPr>
          <w:p>
            <w:pPr>
              <w:spacing w:line="3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政府购买服务大学生应急救护培训</w:t>
            </w:r>
            <w:r>
              <w:rPr>
                <w:rFonts w:hint="eastAsia" w:ascii="仿宋_GB2312" w:hAnsi="仿宋_GB2312" w:eastAsia="仿宋_GB2312" w:cs="仿宋_GB2312"/>
                <w:sz w:val="32"/>
                <w:szCs w:val="32"/>
              </w:rPr>
              <w:t>经费</w:t>
            </w:r>
          </w:p>
        </w:tc>
        <w:tc>
          <w:tcPr>
            <w:tcW w:w="1052" w:type="dxa"/>
            <w:vAlign w:val="center"/>
          </w:tcPr>
          <w:p>
            <w:pPr>
              <w:spacing w:line="3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0.18</w:t>
            </w:r>
          </w:p>
        </w:tc>
        <w:tc>
          <w:tcPr>
            <w:tcW w:w="1252" w:type="dxa"/>
            <w:vAlign w:val="center"/>
          </w:tcPr>
          <w:p>
            <w:pPr>
              <w:spacing w:line="3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半身模拟人</w:t>
            </w:r>
          </w:p>
        </w:tc>
        <w:tc>
          <w:tcPr>
            <w:tcW w:w="1199" w:type="dxa"/>
            <w:vAlign w:val="center"/>
          </w:tcPr>
          <w:p>
            <w:pPr>
              <w:spacing w:line="3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C1901</w:t>
            </w:r>
          </w:p>
        </w:tc>
        <w:tc>
          <w:tcPr>
            <w:tcW w:w="714" w:type="dxa"/>
            <w:vAlign w:val="center"/>
          </w:tcPr>
          <w:p>
            <w:pPr>
              <w:spacing w:line="3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742" w:type="dxa"/>
            <w:vAlign w:val="center"/>
          </w:tcPr>
          <w:p>
            <w:pPr>
              <w:spacing w:line="30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59" w:type="dxa"/>
            <w:vAlign w:val="center"/>
          </w:tcPr>
          <w:p>
            <w:pPr>
              <w:spacing w:line="30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0.09</w:t>
            </w:r>
          </w:p>
        </w:tc>
        <w:tc>
          <w:tcPr>
            <w:tcW w:w="887" w:type="dxa"/>
            <w:vAlign w:val="center"/>
          </w:tcPr>
          <w:p>
            <w:pPr>
              <w:spacing w:line="3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0.18</w:t>
            </w:r>
          </w:p>
        </w:tc>
        <w:tc>
          <w:tcPr>
            <w:tcW w:w="916" w:type="dxa"/>
            <w:vAlign w:val="center"/>
          </w:tcPr>
          <w:p>
            <w:pPr>
              <w:spacing w:line="3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0.18</w:t>
            </w:r>
          </w:p>
        </w:tc>
        <w:tc>
          <w:tcPr>
            <w:tcW w:w="916" w:type="dxa"/>
            <w:vAlign w:val="center"/>
          </w:tcPr>
          <w:p>
            <w:pPr>
              <w:spacing w:line="3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0.18</w:t>
            </w:r>
          </w:p>
        </w:tc>
        <w:tc>
          <w:tcPr>
            <w:tcW w:w="916" w:type="dxa"/>
            <w:vAlign w:val="center"/>
          </w:tcPr>
          <w:p>
            <w:pPr>
              <w:spacing w:line="300" w:lineRule="exact"/>
              <w:jc w:val="right"/>
              <w:rPr>
                <w:rFonts w:hint="eastAsia" w:ascii="仿宋_GB2312" w:hAnsi="仿宋_GB2312" w:eastAsia="仿宋_GB2312" w:cs="仿宋_GB2312"/>
                <w:sz w:val="32"/>
                <w:szCs w:val="32"/>
              </w:rPr>
            </w:pPr>
          </w:p>
        </w:tc>
        <w:tc>
          <w:tcPr>
            <w:tcW w:w="919" w:type="dxa"/>
            <w:vAlign w:val="center"/>
          </w:tcPr>
          <w:p>
            <w:pPr>
              <w:spacing w:line="300" w:lineRule="exact"/>
              <w:jc w:val="right"/>
              <w:rPr>
                <w:rFonts w:hint="eastAsia" w:ascii="仿宋_GB2312" w:hAnsi="仿宋_GB2312" w:eastAsia="仿宋_GB2312" w:cs="仿宋_GB2312"/>
                <w:sz w:val="32"/>
                <w:szCs w:val="32"/>
              </w:rPr>
            </w:pPr>
          </w:p>
        </w:tc>
        <w:tc>
          <w:tcPr>
            <w:tcW w:w="919" w:type="dxa"/>
            <w:vAlign w:val="center"/>
          </w:tcPr>
          <w:p>
            <w:pPr>
              <w:spacing w:line="300" w:lineRule="exact"/>
              <w:jc w:val="right"/>
              <w:rPr>
                <w:rFonts w:hint="eastAsia" w:ascii="仿宋_GB2312" w:hAnsi="仿宋_GB2312" w:eastAsia="仿宋_GB2312" w:cs="仿宋_GB2312"/>
                <w:sz w:val="32"/>
                <w:szCs w:val="32"/>
              </w:rPr>
            </w:pPr>
          </w:p>
        </w:tc>
        <w:tc>
          <w:tcPr>
            <w:tcW w:w="876" w:type="dxa"/>
            <w:vAlign w:val="center"/>
          </w:tcPr>
          <w:p>
            <w:pPr>
              <w:spacing w:line="300" w:lineRule="exact"/>
              <w:jc w:val="right"/>
              <w:rPr>
                <w:rFonts w:hint="eastAsia" w:ascii="仿宋_GB2312" w:hAnsi="仿宋_GB2312" w:eastAsia="仿宋_GB2312" w:cs="仿宋_GB2312"/>
                <w:sz w:val="32"/>
                <w:szCs w:val="32"/>
              </w:rPr>
            </w:pPr>
          </w:p>
        </w:tc>
      </w:tr>
    </w:tbl>
    <w:p>
      <w:pPr>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761 承德市红十字会                                                   单位：万元</w:t>
      </w:r>
    </w:p>
    <w:p>
      <w:pPr>
        <w:rPr>
          <w:rFonts w:hint="eastAsia" w:ascii="仿宋_GB2312" w:hAnsi="仿宋_GB2312" w:eastAsia="仿宋_GB2312" w:cs="仿宋_GB2312"/>
          <w:sz w:val="32"/>
          <w:szCs w:val="32"/>
          <w:lang w:val="en-US" w:eastAsia="zh-CN"/>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七、国有资产情况</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2017年末固定资产</w:t>
      </w:r>
      <w:r>
        <w:rPr>
          <w:rFonts w:hint="eastAsia" w:ascii="仿宋_GB2312" w:hAnsi="仿宋_GB2312" w:eastAsia="仿宋_GB2312" w:cs="仿宋_GB2312"/>
          <w:sz w:val="32"/>
          <w:szCs w:val="32"/>
          <w:lang w:eastAsia="zh-CN"/>
        </w:rPr>
        <w:t>总额</w:t>
      </w:r>
      <w:r>
        <w:rPr>
          <w:rFonts w:hint="eastAsia" w:ascii="仿宋_GB2312" w:hAnsi="仿宋_GB2312" w:eastAsia="仿宋_GB2312" w:cs="仿宋_GB2312"/>
          <w:sz w:val="32"/>
          <w:szCs w:val="32"/>
        </w:rPr>
        <w:t>60.02万元，其中，</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用设备55.99万元，家具、用具、装具及动植物4.03万元。</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说明：年末实有车辆2辆，价值40.167万元</w:t>
      </w:r>
      <w:r>
        <w:rPr>
          <w:rFonts w:hint="eastAsia" w:ascii="仿宋_GB2312" w:hAnsi="仿宋_GB2312" w:eastAsia="仿宋_GB2312" w:cs="仿宋_GB2312"/>
          <w:sz w:val="32"/>
          <w:szCs w:val="32"/>
          <w:lang w:eastAsia="zh-CN"/>
        </w:rPr>
        <w:t>，详见下表</w:t>
      </w:r>
      <w:r>
        <w:rPr>
          <w:rFonts w:hint="eastAsia" w:ascii="仿宋_GB2312" w:hAnsi="仿宋_GB2312" w:eastAsia="仿宋_GB2312" w:cs="仿宋_GB2312"/>
          <w:sz w:val="32"/>
          <w:szCs w:val="32"/>
        </w:rPr>
        <w:t>。</w:t>
      </w:r>
    </w:p>
    <w:tbl>
      <w:tblPr>
        <w:tblStyle w:val="6"/>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编制部门：</w:t>
            </w:r>
            <w:r>
              <w:rPr>
                <w:rFonts w:hint="eastAsia" w:ascii="仿宋_GB2312" w:hAnsi="仿宋_GB2312" w:eastAsia="仿宋_GB2312" w:cs="仿宋_GB2312"/>
                <w:kern w:val="0"/>
                <w:sz w:val="32"/>
                <w:szCs w:val="32"/>
                <w:lang w:eastAsia="zh-CN"/>
              </w:rPr>
              <w:t>承德市红十字会</w:t>
            </w:r>
          </w:p>
        </w:tc>
        <w:tc>
          <w:tcPr>
            <w:tcW w:w="5103" w:type="dxa"/>
            <w:tcBorders>
              <w:top w:val="nil"/>
              <w:left w:val="nil"/>
              <w:bottom w:val="nil"/>
              <w:right w:val="nil"/>
            </w:tcBorders>
            <w:vAlign w:val="center"/>
          </w:tcPr>
          <w:p>
            <w:pPr>
              <w:widowControl/>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截止时间：2017年12月31日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资产总额</w:t>
            </w:r>
          </w:p>
        </w:tc>
        <w:tc>
          <w:tcPr>
            <w:tcW w:w="315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60.02</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用设备</w:t>
            </w:r>
          </w:p>
        </w:tc>
        <w:tc>
          <w:tcPr>
            <w:tcW w:w="315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55.99</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t>车辆（台、辆）</w:t>
            </w:r>
          </w:p>
        </w:tc>
        <w:tc>
          <w:tcPr>
            <w:tcW w:w="315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p>
        </w:tc>
        <w:tc>
          <w:tcPr>
            <w:tcW w:w="510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40.167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、其他固定资产</w:t>
            </w:r>
          </w:p>
        </w:tc>
        <w:tc>
          <w:tcPr>
            <w:tcW w:w="315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4.03</w:t>
            </w:r>
          </w:p>
        </w:tc>
      </w:tr>
    </w:tbl>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八、相关专业性较强的名词解释</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一般</w:t>
      </w:r>
      <w:r>
        <w:rPr>
          <w:rFonts w:hint="eastAsia" w:ascii="仿宋_GB2312" w:hAnsi="仿宋_GB2312" w:eastAsia="仿宋_GB2312" w:cs="仿宋_GB2312"/>
          <w:color w:val="auto"/>
          <w:kern w:val="0"/>
          <w:sz w:val="32"/>
          <w:szCs w:val="32"/>
          <w:lang w:eastAsia="zh-CN"/>
        </w:rPr>
        <w:t>公共</w:t>
      </w:r>
      <w:r>
        <w:rPr>
          <w:rFonts w:hint="eastAsia" w:ascii="仿宋_GB2312" w:hAnsi="仿宋_GB2312" w:eastAsia="仿宋_GB2312" w:cs="仿宋_GB2312"/>
          <w:color w:val="auto"/>
          <w:kern w:val="0"/>
          <w:sz w:val="32"/>
          <w:szCs w:val="32"/>
        </w:rPr>
        <w:t>预算</w:t>
      </w:r>
      <w:r>
        <w:rPr>
          <w:rFonts w:hint="eastAsia" w:ascii="仿宋_GB2312" w:hAnsi="仿宋_GB2312" w:eastAsia="仿宋_GB2312" w:cs="仿宋_GB2312"/>
          <w:color w:val="auto"/>
          <w:kern w:val="0"/>
          <w:sz w:val="32"/>
          <w:szCs w:val="32"/>
          <w:lang w:eastAsia="zh-CN"/>
        </w:rPr>
        <w:t>拨款</w:t>
      </w:r>
      <w:r>
        <w:rPr>
          <w:rFonts w:hint="eastAsia" w:ascii="仿宋_GB2312" w:hAnsi="仿宋_GB2312" w:eastAsia="仿宋_GB2312" w:cs="仿宋_GB2312"/>
          <w:color w:val="auto"/>
          <w:kern w:val="0"/>
          <w:sz w:val="32"/>
          <w:szCs w:val="32"/>
        </w:rPr>
        <w:t>收入</w:t>
      </w:r>
      <w:r>
        <w:rPr>
          <w:rFonts w:hint="eastAsia" w:ascii="仿宋_GB2312" w:hAnsi="仿宋_GB2312" w:eastAsia="仿宋_GB2312" w:cs="仿宋_GB2312"/>
          <w:color w:val="000000"/>
          <w:kern w:val="0"/>
          <w:sz w:val="32"/>
          <w:szCs w:val="32"/>
        </w:rPr>
        <w:t>：从本级财政部门取得的财政拨款，包括一般公共预算财政拨款和政府性基金预算财政拨款。</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、基本支出：填列单位为保障机构正常运转、完成日常工作任务而发生的各项支出。</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年初结转和结余：指以前年度尚未完成、结转到本年仍按原规定用途继续使用的资金，或项目已完成等产生的结余资金。</w:t>
      </w:r>
    </w:p>
    <w:p>
      <w:pPr>
        <w:widowControl/>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、项目支出：在基本支出之外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为完成特定的行政工作任务或事业发展目标</w:t>
      </w:r>
      <w:r>
        <w:rPr>
          <w:rFonts w:hint="eastAsia" w:ascii="仿宋_GB2312" w:hAnsi="仿宋_GB2312" w:eastAsia="仿宋_GB2312" w:cs="仿宋_GB2312"/>
          <w:color w:val="000000"/>
          <w:kern w:val="0"/>
          <w:sz w:val="32"/>
          <w:szCs w:val="32"/>
          <w:lang w:eastAsia="zh-CN"/>
        </w:rPr>
        <w:t>而</w:t>
      </w:r>
      <w:r>
        <w:rPr>
          <w:rFonts w:hint="eastAsia" w:ascii="仿宋_GB2312" w:hAnsi="仿宋_GB2312" w:eastAsia="仿宋_GB2312" w:cs="仿宋_GB2312"/>
          <w:color w:val="000000"/>
          <w:kern w:val="0"/>
          <w:sz w:val="32"/>
          <w:szCs w:val="32"/>
        </w:rPr>
        <w:t>发生的各项支出</w:t>
      </w:r>
      <w:r>
        <w:rPr>
          <w:rFonts w:hint="eastAsia" w:ascii="仿宋_GB2312" w:hAnsi="仿宋_GB2312" w:eastAsia="仿宋_GB2312" w:cs="仿宋_GB2312"/>
          <w:color w:val="000000"/>
          <w:kern w:val="0"/>
          <w:sz w:val="32"/>
          <w:szCs w:val="32"/>
          <w:lang w:eastAsia="zh-CN"/>
        </w:rPr>
        <w:t>。</w:t>
      </w:r>
    </w:p>
    <w:p>
      <w:pPr>
        <w:widowControl/>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widowControl/>
        <w:spacing w:line="560" w:lineRule="exact"/>
        <w:ind w:firstLine="640" w:firstLineChars="200"/>
        <w:rPr>
          <w:rFonts w:ascii="仿宋_GB2312" w:hAnsi="楷体" w:eastAsia="仿宋_GB2312" w:cs="宋体"/>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楷体" w:eastAsia="仿宋_GB2312" w:cs="宋体"/>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九、其他需说明的事项</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我部门无</w:t>
      </w:r>
      <w:r>
        <w:rPr>
          <w:rFonts w:hint="eastAsia" w:ascii="仿宋_GB2312" w:hAnsi="仿宋_GB2312" w:eastAsia="仿宋_GB2312" w:cs="仿宋_GB2312"/>
          <w:sz w:val="32"/>
          <w:szCs w:val="32"/>
        </w:rPr>
        <w:t>其他需</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说明的事项。</w:t>
      </w:r>
    </w:p>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sz w:val="32"/>
          <w:szCs w:val="32"/>
        </w:rPr>
      </w:pPr>
    </w:p>
    <w:p>
      <w:pPr>
        <w:ind w:firstLine="630"/>
        <w:rPr>
          <w:rFonts w:hint="eastAsia" w:ascii="仿宋_GB2312" w:hAnsi="仿宋_GB2312" w:eastAsia="仿宋_GB2312" w:cs="仿宋_GB2312"/>
          <w:sz w:val="32"/>
          <w:szCs w:val="32"/>
        </w:rPr>
      </w:pPr>
    </w:p>
    <w:p>
      <w:pPr>
        <w:rPr>
          <w:rFonts w:hint="eastAsia" w:asciiTheme="majorEastAsia" w:hAnsiTheme="majorEastAsia" w:eastAsiaTheme="majorEastAsia" w:cstheme="majorEastAsia"/>
          <w:sz w:val="36"/>
          <w:szCs w:val="36"/>
        </w:rPr>
      </w:pPr>
    </w:p>
    <w:sectPr>
      <w:headerReference r:id="rId3" w:type="default"/>
      <w:pgSz w:w="23757" w:h="16783" w:orient="landscape"/>
      <w:pgMar w:top="1700" w:right="900" w:bottom="1400" w:left="7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C3A9D"/>
    <w:multiLevelType w:val="singleLevel"/>
    <w:tmpl w:val="F63C3A9D"/>
    <w:lvl w:ilvl="0" w:tentative="0">
      <w:start w:val="4"/>
      <w:numFmt w:val="chineseCounting"/>
      <w:suff w:val="nothing"/>
      <w:lvlText w:val="%1、"/>
      <w:lvlJc w:val="left"/>
      <w:rPr>
        <w:rFonts w:hint="eastAsia"/>
      </w:rPr>
    </w:lvl>
  </w:abstractNum>
  <w:abstractNum w:abstractNumId="1">
    <w:nsid w:val="55ECA478"/>
    <w:multiLevelType w:val="singleLevel"/>
    <w:tmpl w:val="55ECA478"/>
    <w:lvl w:ilvl="0" w:tentative="0">
      <w:start w:val="1"/>
      <w:numFmt w:val="decimal"/>
      <w:suff w:val="nothing"/>
      <w:lvlText w:val="%1、"/>
      <w:lvlJc w:val="left"/>
    </w:lvl>
  </w:abstractNum>
  <w:abstractNum w:abstractNumId="2">
    <w:nsid w:val="5D7FA42C"/>
    <w:multiLevelType w:val="singleLevel"/>
    <w:tmpl w:val="5D7FA42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Tg5YzFjNWQzZWUyZmMyMWE0YzhhODI5NTE0ODkifQ=="/>
  </w:docVars>
  <w:rsids>
    <w:rsidRoot w:val="0021323C"/>
    <w:rsid w:val="000002AE"/>
    <w:rsid w:val="00002A5D"/>
    <w:rsid w:val="000039D6"/>
    <w:rsid w:val="000045E2"/>
    <w:rsid w:val="00004944"/>
    <w:rsid w:val="000050BE"/>
    <w:rsid w:val="00010D89"/>
    <w:rsid w:val="00011506"/>
    <w:rsid w:val="00011C3F"/>
    <w:rsid w:val="00013E7B"/>
    <w:rsid w:val="000156FF"/>
    <w:rsid w:val="00017BB0"/>
    <w:rsid w:val="0004110C"/>
    <w:rsid w:val="00041260"/>
    <w:rsid w:val="00041673"/>
    <w:rsid w:val="00047F1E"/>
    <w:rsid w:val="000563A8"/>
    <w:rsid w:val="000632CF"/>
    <w:rsid w:val="00066189"/>
    <w:rsid w:val="0007250A"/>
    <w:rsid w:val="00083AB9"/>
    <w:rsid w:val="00084054"/>
    <w:rsid w:val="000942C1"/>
    <w:rsid w:val="000A35E5"/>
    <w:rsid w:val="000A4223"/>
    <w:rsid w:val="000D41D3"/>
    <w:rsid w:val="000D5EF6"/>
    <w:rsid w:val="000E3162"/>
    <w:rsid w:val="000E4586"/>
    <w:rsid w:val="000F2527"/>
    <w:rsid w:val="000F361E"/>
    <w:rsid w:val="000F54D8"/>
    <w:rsid w:val="000F6E9D"/>
    <w:rsid w:val="001000E5"/>
    <w:rsid w:val="00105A9D"/>
    <w:rsid w:val="001107D9"/>
    <w:rsid w:val="00111273"/>
    <w:rsid w:val="00111B68"/>
    <w:rsid w:val="00113A16"/>
    <w:rsid w:val="00113DD1"/>
    <w:rsid w:val="00123C73"/>
    <w:rsid w:val="001262E1"/>
    <w:rsid w:val="001304A5"/>
    <w:rsid w:val="00130E13"/>
    <w:rsid w:val="00132FD5"/>
    <w:rsid w:val="0014022A"/>
    <w:rsid w:val="0014414F"/>
    <w:rsid w:val="00144500"/>
    <w:rsid w:val="00144542"/>
    <w:rsid w:val="00145C47"/>
    <w:rsid w:val="00146CC5"/>
    <w:rsid w:val="0015036E"/>
    <w:rsid w:val="00152B89"/>
    <w:rsid w:val="00154DA9"/>
    <w:rsid w:val="001661D5"/>
    <w:rsid w:val="00177073"/>
    <w:rsid w:val="00180D4B"/>
    <w:rsid w:val="001825B5"/>
    <w:rsid w:val="00182655"/>
    <w:rsid w:val="00184BAC"/>
    <w:rsid w:val="001935D1"/>
    <w:rsid w:val="00196021"/>
    <w:rsid w:val="00197447"/>
    <w:rsid w:val="001A18F3"/>
    <w:rsid w:val="001A53DA"/>
    <w:rsid w:val="001B1F40"/>
    <w:rsid w:val="001B463A"/>
    <w:rsid w:val="001B4E00"/>
    <w:rsid w:val="001C1516"/>
    <w:rsid w:val="001C4711"/>
    <w:rsid w:val="001D3377"/>
    <w:rsid w:val="001D6D7F"/>
    <w:rsid w:val="001E1083"/>
    <w:rsid w:val="001E2FF1"/>
    <w:rsid w:val="001E36CC"/>
    <w:rsid w:val="001E5C6C"/>
    <w:rsid w:val="001F03BC"/>
    <w:rsid w:val="001F276F"/>
    <w:rsid w:val="001F455E"/>
    <w:rsid w:val="001F4F2F"/>
    <w:rsid w:val="001F78F2"/>
    <w:rsid w:val="00206304"/>
    <w:rsid w:val="0021323C"/>
    <w:rsid w:val="002163E4"/>
    <w:rsid w:val="00221FA0"/>
    <w:rsid w:val="00222D67"/>
    <w:rsid w:val="0022325A"/>
    <w:rsid w:val="0022531C"/>
    <w:rsid w:val="002345A3"/>
    <w:rsid w:val="00235A39"/>
    <w:rsid w:val="00254123"/>
    <w:rsid w:val="00255D80"/>
    <w:rsid w:val="00257C44"/>
    <w:rsid w:val="002707AA"/>
    <w:rsid w:val="00274931"/>
    <w:rsid w:val="00275840"/>
    <w:rsid w:val="00291666"/>
    <w:rsid w:val="00292799"/>
    <w:rsid w:val="0029796B"/>
    <w:rsid w:val="00297CBA"/>
    <w:rsid w:val="00297F55"/>
    <w:rsid w:val="002A032A"/>
    <w:rsid w:val="002A1525"/>
    <w:rsid w:val="002A1A37"/>
    <w:rsid w:val="002A2FC0"/>
    <w:rsid w:val="002A56D0"/>
    <w:rsid w:val="002B27B6"/>
    <w:rsid w:val="002B3F6E"/>
    <w:rsid w:val="002B58B5"/>
    <w:rsid w:val="002C2334"/>
    <w:rsid w:val="002C3847"/>
    <w:rsid w:val="002C6176"/>
    <w:rsid w:val="002C6D33"/>
    <w:rsid w:val="002C76C3"/>
    <w:rsid w:val="002D3D15"/>
    <w:rsid w:val="002D41C0"/>
    <w:rsid w:val="002D4A38"/>
    <w:rsid w:val="002E0FAC"/>
    <w:rsid w:val="002E2D43"/>
    <w:rsid w:val="002F2164"/>
    <w:rsid w:val="002F7965"/>
    <w:rsid w:val="003031E8"/>
    <w:rsid w:val="00303A60"/>
    <w:rsid w:val="00312ABA"/>
    <w:rsid w:val="00312DC9"/>
    <w:rsid w:val="00316827"/>
    <w:rsid w:val="003210AF"/>
    <w:rsid w:val="003215CC"/>
    <w:rsid w:val="00322D16"/>
    <w:rsid w:val="00324A59"/>
    <w:rsid w:val="003278F6"/>
    <w:rsid w:val="00330A3F"/>
    <w:rsid w:val="00337894"/>
    <w:rsid w:val="00343A44"/>
    <w:rsid w:val="00345482"/>
    <w:rsid w:val="003466E4"/>
    <w:rsid w:val="0034672C"/>
    <w:rsid w:val="0035212F"/>
    <w:rsid w:val="0035343C"/>
    <w:rsid w:val="0035608C"/>
    <w:rsid w:val="003567A2"/>
    <w:rsid w:val="003601ED"/>
    <w:rsid w:val="00360CA7"/>
    <w:rsid w:val="00364EC2"/>
    <w:rsid w:val="003728A4"/>
    <w:rsid w:val="00373084"/>
    <w:rsid w:val="003819AA"/>
    <w:rsid w:val="00396872"/>
    <w:rsid w:val="00396F40"/>
    <w:rsid w:val="003A1D76"/>
    <w:rsid w:val="003B1367"/>
    <w:rsid w:val="003B4D37"/>
    <w:rsid w:val="003B596D"/>
    <w:rsid w:val="003C16FB"/>
    <w:rsid w:val="003C72CA"/>
    <w:rsid w:val="003C7D02"/>
    <w:rsid w:val="003D0899"/>
    <w:rsid w:val="003D2F04"/>
    <w:rsid w:val="003D4A92"/>
    <w:rsid w:val="003D5BE0"/>
    <w:rsid w:val="003E13F1"/>
    <w:rsid w:val="003F2861"/>
    <w:rsid w:val="003F4A05"/>
    <w:rsid w:val="00402970"/>
    <w:rsid w:val="00405048"/>
    <w:rsid w:val="0040694E"/>
    <w:rsid w:val="00406B4E"/>
    <w:rsid w:val="004122C5"/>
    <w:rsid w:val="004141A4"/>
    <w:rsid w:val="00422B5B"/>
    <w:rsid w:val="00423EF7"/>
    <w:rsid w:val="004260CA"/>
    <w:rsid w:val="00430D85"/>
    <w:rsid w:val="00435558"/>
    <w:rsid w:val="004410D2"/>
    <w:rsid w:val="00442B01"/>
    <w:rsid w:val="00445AF9"/>
    <w:rsid w:val="00454DF3"/>
    <w:rsid w:val="0045639B"/>
    <w:rsid w:val="0046162C"/>
    <w:rsid w:val="004640B6"/>
    <w:rsid w:val="00470409"/>
    <w:rsid w:val="00475477"/>
    <w:rsid w:val="004833D3"/>
    <w:rsid w:val="00483DD4"/>
    <w:rsid w:val="00484521"/>
    <w:rsid w:val="00484CC5"/>
    <w:rsid w:val="00493CAF"/>
    <w:rsid w:val="00493CFA"/>
    <w:rsid w:val="00494EDF"/>
    <w:rsid w:val="004A4A4B"/>
    <w:rsid w:val="004B04D6"/>
    <w:rsid w:val="004B2E29"/>
    <w:rsid w:val="004D70F5"/>
    <w:rsid w:val="004E48C7"/>
    <w:rsid w:val="004E5AAD"/>
    <w:rsid w:val="004E7214"/>
    <w:rsid w:val="004F0A55"/>
    <w:rsid w:val="004F4E43"/>
    <w:rsid w:val="004F6F6E"/>
    <w:rsid w:val="0051382C"/>
    <w:rsid w:val="00515A97"/>
    <w:rsid w:val="005174BF"/>
    <w:rsid w:val="00520DA0"/>
    <w:rsid w:val="00521DC0"/>
    <w:rsid w:val="00522651"/>
    <w:rsid w:val="0053262F"/>
    <w:rsid w:val="00533F30"/>
    <w:rsid w:val="00537572"/>
    <w:rsid w:val="005426A8"/>
    <w:rsid w:val="00547708"/>
    <w:rsid w:val="00556860"/>
    <w:rsid w:val="0058076D"/>
    <w:rsid w:val="00580998"/>
    <w:rsid w:val="005904C8"/>
    <w:rsid w:val="00590866"/>
    <w:rsid w:val="00593D7F"/>
    <w:rsid w:val="0059601F"/>
    <w:rsid w:val="005A326E"/>
    <w:rsid w:val="005A489F"/>
    <w:rsid w:val="005B25A5"/>
    <w:rsid w:val="005D048F"/>
    <w:rsid w:val="005D202D"/>
    <w:rsid w:val="005D574D"/>
    <w:rsid w:val="005D6827"/>
    <w:rsid w:val="005E3EF9"/>
    <w:rsid w:val="005F6893"/>
    <w:rsid w:val="005F7347"/>
    <w:rsid w:val="006008CB"/>
    <w:rsid w:val="00605C98"/>
    <w:rsid w:val="00606D6B"/>
    <w:rsid w:val="0061208E"/>
    <w:rsid w:val="00622B4D"/>
    <w:rsid w:val="00623E53"/>
    <w:rsid w:val="006261A5"/>
    <w:rsid w:val="00630E0B"/>
    <w:rsid w:val="00641074"/>
    <w:rsid w:val="00645F04"/>
    <w:rsid w:val="00646AFE"/>
    <w:rsid w:val="006475D9"/>
    <w:rsid w:val="00647F3C"/>
    <w:rsid w:val="00657687"/>
    <w:rsid w:val="00663E63"/>
    <w:rsid w:val="00677814"/>
    <w:rsid w:val="00681FA8"/>
    <w:rsid w:val="0068291E"/>
    <w:rsid w:val="0068646A"/>
    <w:rsid w:val="00686924"/>
    <w:rsid w:val="006A3EA9"/>
    <w:rsid w:val="006A6E8D"/>
    <w:rsid w:val="006B457F"/>
    <w:rsid w:val="006B48E7"/>
    <w:rsid w:val="006C3FE1"/>
    <w:rsid w:val="006C501A"/>
    <w:rsid w:val="006E6554"/>
    <w:rsid w:val="006E785C"/>
    <w:rsid w:val="006F276C"/>
    <w:rsid w:val="006F51D1"/>
    <w:rsid w:val="00704833"/>
    <w:rsid w:val="0070658C"/>
    <w:rsid w:val="007077BB"/>
    <w:rsid w:val="00710F0E"/>
    <w:rsid w:val="00716840"/>
    <w:rsid w:val="00720248"/>
    <w:rsid w:val="00720446"/>
    <w:rsid w:val="00724B97"/>
    <w:rsid w:val="00724DB6"/>
    <w:rsid w:val="00726B85"/>
    <w:rsid w:val="00726BCC"/>
    <w:rsid w:val="0073037E"/>
    <w:rsid w:val="00731AD3"/>
    <w:rsid w:val="0073627F"/>
    <w:rsid w:val="00743C1B"/>
    <w:rsid w:val="00750DB1"/>
    <w:rsid w:val="00756404"/>
    <w:rsid w:val="00760727"/>
    <w:rsid w:val="00760F29"/>
    <w:rsid w:val="007671F7"/>
    <w:rsid w:val="007730A0"/>
    <w:rsid w:val="007744AF"/>
    <w:rsid w:val="00776EBD"/>
    <w:rsid w:val="00780389"/>
    <w:rsid w:val="00790F28"/>
    <w:rsid w:val="00791BE9"/>
    <w:rsid w:val="00792E8C"/>
    <w:rsid w:val="007A09FB"/>
    <w:rsid w:val="007A6960"/>
    <w:rsid w:val="007A795E"/>
    <w:rsid w:val="007A7D53"/>
    <w:rsid w:val="007B75D2"/>
    <w:rsid w:val="007C5DBD"/>
    <w:rsid w:val="007D040B"/>
    <w:rsid w:val="007D27CC"/>
    <w:rsid w:val="007D367F"/>
    <w:rsid w:val="007D7FDE"/>
    <w:rsid w:val="007F546C"/>
    <w:rsid w:val="008018B9"/>
    <w:rsid w:val="00801E94"/>
    <w:rsid w:val="0081511C"/>
    <w:rsid w:val="00815743"/>
    <w:rsid w:val="00822534"/>
    <w:rsid w:val="00825D5B"/>
    <w:rsid w:val="00826A59"/>
    <w:rsid w:val="0083546D"/>
    <w:rsid w:val="00842C90"/>
    <w:rsid w:val="0084332C"/>
    <w:rsid w:val="00844160"/>
    <w:rsid w:val="00845729"/>
    <w:rsid w:val="00852633"/>
    <w:rsid w:val="00853323"/>
    <w:rsid w:val="00855B1A"/>
    <w:rsid w:val="00862D49"/>
    <w:rsid w:val="0086642E"/>
    <w:rsid w:val="008722A7"/>
    <w:rsid w:val="008727A7"/>
    <w:rsid w:val="00881FC2"/>
    <w:rsid w:val="008830BB"/>
    <w:rsid w:val="00884F91"/>
    <w:rsid w:val="00890214"/>
    <w:rsid w:val="00894BE0"/>
    <w:rsid w:val="00894CA5"/>
    <w:rsid w:val="008979F6"/>
    <w:rsid w:val="008A42BF"/>
    <w:rsid w:val="008B5325"/>
    <w:rsid w:val="008B65FA"/>
    <w:rsid w:val="008C0F85"/>
    <w:rsid w:val="008C646E"/>
    <w:rsid w:val="008C64FF"/>
    <w:rsid w:val="008D04F6"/>
    <w:rsid w:val="008D3722"/>
    <w:rsid w:val="008D4687"/>
    <w:rsid w:val="008D602A"/>
    <w:rsid w:val="008E6FE4"/>
    <w:rsid w:val="008F46FB"/>
    <w:rsid w:val="008F757E"/>
    <w:rsid w:val="00903715"/>
    <w:rsid w:val="009050EC"/>
    <w:rsid w:val="00905431"/>
    <w:rsid w:val="009157A6"/>
    <w:rsid w:val="009217E7"/>
    <w:rsid w:val="009312C7"/>
    <w:rsid w:val="00936DB5"/>
    <w:rsid w:val="00937CF2"/>
    <w:rsid w:val="009435D8"/>
    <w:rsid w:val="009456EA"/>
    <w:rsid w:val="00951A39"/>
    <w:rsid w:val="00965709"/>
    <w:rsid w:val="009669EA"/>
    <w:rsid w:val="00972649"/>
    <w:rsid w:val="00975C97"/>
    <w:rsid w:val="00981E19"/>
    <w:rsid w:val="00984241"/>
    <w:rsid w:val="009842FE"/>
    <w:rsid w:val="0099380E"/>
    <w:rsid w:val="00993F21"/>
    <w:rsid w:val="00996B5F"/>
    <w:rsid w:val="009A0230"/>
    <w:rsid w:val="009A4115"/>
    <w:rsid w:val="009B5B58"/>
    <w:rsid w:val="009C0A29"/>
    <w:rsid w:val="009C72BA"/>
    <w:rsid w:val="009D7B97"/>
    <w:rsid w:val="009E26D8"/>
    <w:rsid w:val="009E3D23"/>
    <w:rsid w:val="009E3DD1"/>
    <w:rsid w:val="009F4282"/>
    <w:rsid w:val="009F5B08"/>
    <w:rsid w:val="009F66BB"/>
    <w:rsid w:val="009F7C6B"/>
    <w:rsid w:val="00A00BCA"/>
    <w:rsid w:val="00A01E1B"/>
    <w:rsid w:val="00A02FE3"/>
    <w:rsid w:val="00A12919"/>
    <w:rsid w:val="00A149C0"/>
    <w:rsid w:val="00A17A3F"/>
    <w:rsid w:val="00A2062A"/>
    <w:rsid w:val="00A262BD"/>
    <w:rsid w:val="00A35280"/>
    <w:rsid w:val="00A40F5C"/>
    <w:rsid w:val="00A41DBE"/>
    <w:rsid w:val="00A422A4"/>
    <w:rsid w:val="00A55CE8"/>
    <w:rsid w:val="00A66E13"/>
    <w:rsid w:val="00A6753F"/>
    <w:rsid w:val="00A71294"/>
    <w:rsid w:val="00A7596C"/>
    <w:rsid w:val="00A838B9"/>
    <w:rsid w:val="00A8440C"/>
    <w:rsid w:val="00A84CED"/>
    <w:rsid w:val="00A86604"/>
    <w:rsid w:val="00A92E7A"/>
    <w:rsid w:val="00A95291"/>
    <w:rsid w:val="00A96492"/>
    <w:rsid w:val="00A9759B"/>
    <w:rsid w:val="00AA1C0F"/>
    <w:rsid w:val="00AA3C2C"/>
    <w:rsid w:val="00AA52E6"/>
    <w:rsid w:val="00AB3F90"/>
    <w:rsid w:val="00AB434B"/>
    <w:rsid w:val="00AB59DE"/>
    <w:rsid w:val="00AC38A6"/>
    <w:rsid w:val="00AE53E0"/>
    <w:rsid w:val="00AF1CFC"/>
    <w:rsid w:val="00AF20BD"/>
    <w:rsid w:val="00AF4C98"/>
    <w:rsid w:val="00B010A2"/>
    <w:rsid w:val="00B01F4D"/>
    <w:rsid w:val="00B04790"/>
    <w:rsid w:val="00B10AC3"/>
    <w:rsid w:val="00B118EA"/>
    <w:rsid w:val="00B17745"/>
    <w:rsid w:val="00B226F6"/>
    <w:rsid w:val="00B25DD2"/>
    <w:rsid w:val="00B30BEE"/>
    <w:rsid w:val="00B326BB"/>
    <w:rsid w:val="00B4386A"/>
    <w:rsid w:val="00B51554"/>
    <w:rsid w:val="00B540AE"/>
    <w:rsid w:val="00B565D0"/>
    <w:rsid w:val="00B6298E"/>
    <w:rsid w:val="00B64CBA"/>
    <w:rsid w:val="00B93468"/>
    <w:rsid w:val="00B97B4B"/>
    <w:rsid w:val="00BA318F"/>
    <w:rsid w:val="00BA5CE1"/>
    <w:rsid w:val="00BB0E75"/>
    <w:rsid w:val="00BC3924"/>
    <w:rsid w:val="00BC609F"/>
    <w:rsid w:val="00BD6D5A"/>
    <w:rsid w:val="00BF4A0D"/>
    <w:rsid w:val="00C00C32"/>
    <w:rsid w:val="00C10CD5"/>
    <w:rsid w:val="00C124FC"/>
    <w:rsid w:val="00C1628F"/>
    <w:rsid w:val="00C211F1"/>
    <w:rsid w:val="00C24D4E"/>
    <w:rsid w:val="00C25402"/>
    <w:rsid w:val="00C278CC"/>
    <w:rsid w:val="00C27DB0"/>
    <w:rsid w:val="00C315B1"/>
    <w:rsid w:val="00C40D94"/>
    <w:rsid w:val="00C45167"/>
    <w:rsid w:val="00C51D8F"/>
    <w:rsid w:val="00C54523"/>
    <w:rsid w:val="00C62CAB"/>
    <w:rsid w:val="00C64C97"/>
    <w:rsid w:val="00C70826"/>
    <w:rsid w:val="00C73A83"/>
    <w:rsid w:val="00C74006"/>
    <w:rsid w:val="00C7751B"/>
    <w:rsid w:val="00C9169B"/>
    <w:rsid w:val="00CA10A6"/>
    <w:rsid w:val="00CA3798"/>
    <w:rsid w:val="00CA7C83"/>
    <w:rsid w:val="00CB06FC"/>
    <w:rsid w:val="00CC1327"/>
    <w:rsid w:val="00CC544A"/>
    <w:rsid w:val="00CC70EF"/>
    <w:rsid w:val="00CD068F"/>
    <w:rsid w:val="00CD362D"/>
    <w:rsid w:val="00CD42E4"/>
    <w:rsid w:val="00CD5286"/>
    <w:rsid w:val="00CE52B1"/>
    <w:rsid w:val="00CE5692"/>
    <w:rsid w:val="00CE780E"/>
    <w:rsid w:val="00CF6558"/>
    <w:rsid w:val="00CF6F6E"/>
    <w:rsid w:val="00D10F8F"/>
    <w:rsid w:val="00D11222"/>
    <w:rsid w:val="00D15B0C"/>
    <w:rsid w:val="00D22A50"/>
    <w:rsid w:val="00D32267"/>
    <w:rsid w:val="00D33015"/>
    <w:rsid w:val="00D3400B"/>
    <w:rsid w:val="00D342C7"/>
    <w:rsid w:val="00D43F59"/>
    <w:rsid w:val="00D5235C"/>
    <w:rsid w:val="00D57B6C"/>
    <w:rsid w:val="00D609DA"/>
    <w:rsid w:val="00D7116D"/>
    <w:rsid w:val="00D74FCB"/>
    <w:rsid w:val="00D77F8A"/>
    <w:rsid w:val="00D83213"/>
    <w:rsid w:val="00D87E48"/>
    <w:rsid w:val="00D97016"/>
    <w:rsid w:val="00DB05C0"/>
    <w:rsid w:val="00DB4214"/>
    <w:rsid w:val="00DB6CC4"/>
    <w:rsid w:val="00DC3B3F"/>
    <w:rsid w:val="00DD0C22"/>
    <w:rsid w:val="00DD37DF"/>
    <w:rsid w:val="00DD44F7"/>
    <w:rsid w:val="00DD473E"/>
    <w:rsid w:val="00DD555C"/>
    <w:rsid w:val="00DD61F0"/>
    <w:rsid w:val="00DE1695"/>
    <w:rsid w:val="00DE6C28"/>
    <w:rsid w:val="00DF1D9A"/>
    <w:rsid w:val="00DF542F"/>
    <w:rsid w:val="00DF5EE6"/>
    <w:rsid w:val="00E02E53"/>
    <w:rsid w:val="00E067E0"/>
    <w:rsid w:val="00E07BFE"/>
    <w:rsid w:val="00E1067D"/>
    <w:rsid w:val="00E10974"/>
    <w:rsid w:val="00E11993"/>
    <w:rsid w:val="00E1267E"/>
    <w:rsid w:val="00E22794"/>
    <w:rsid w:val="00E22C97"/>
    <w:rsid w:val="00E2633C"/>
    <w:rsid w:val="00E32C11"/>
    <w:rsid w:val="00E33312"/>
    <w:rsid w:val="00E406A8"/>
    <w:rsid w:val="00E43E14"/>
    <w:rsid w:val="00E50C66"/>
    <w:rsid w:val="00E521E8"/>
    <w:rsid w:val="00E5552D"/>
    <w:rsid w:val="00E57EE6"/>
    <w:rsid w:val="00E618A4"/>
    <w:rsid w:val="00E634DC"/>
    <w:rsid w:val="00E64F59"/>
    <w:rsid w:val="00E71ADB"/>
    <w:rsid w:val="00E76901"/>
    <w:rsid w:val="00E77579"/>
    <w:rsid w:val="00E84E02"/>
    <w:rsid w:val="00EA1857"/>
    <w:rsid w:val="00EA3720"/>
    <w:rsid w:val="00EB0D00"/>
    <w:rsid w:val="00EC0E15"/>
    <w:rsid w:val="00EC1940"/>
    <w:rsid w:val="00EC5C6C"/>
    <w:rsid w:val="00ED1401"/>
    <w:rsid w:val="00ED6DFC"/>
    <w:rsid w:val="00ED7707"/>
    <w:rsid w:val="00ED7A32"/>
    <w:rsid w:val="00EE0269"/>
    <w:rsid w:val="00EE0E93"/>
    <w:rsid w:val="00EE6812"/>
    <w:rsid w:val="00EF31A6"/>
    <w:rsid w:val="00EF4058"/>
    <w:rsid w:val="00EF628D"/>
    <w:rsid w:val="00EF7E5C"/>
    <w:rsid w:val="00F002D9"/>
    <w:rsid w:val="00F04065"/>
    <w:rsid w:val="00F06134"/>
    <w:rsid w:val="00F10E57"/>
    <w:rsid w:val="00F12992"/>
    <w:rsid w:val="00F15404"/>
    <w:rsid w:val="00F320C9"/>
    <w:rsid w:val="00F35DBC"/>
    <w:rsid w:val="00F36CBC"/>
    <w:rsid w:val="00F37743"/>
    <w:rsid w:val="00F42774"/>
    <w:rsid w:val="00F432EE"/>
    <w:rsid w:val="00F455CF"/>
    <w:rsid w:val="00F54BBA"/>
    <w:rsid w:val="00F55FA1"/>
    <w:rsid w:val="00F5631C"/>
    <w:rsid w:val="00F65879"/>
    <w:rsid w:val="00F66EE7"/>
    <w:rsid w:val="00F71364"/>
    <w:rsid w:val="00F72B0B"/>
    <w:rsid w:val="00F73B84"/>
    <w:rsid w:val="00F81D9A"/>
    <w:rsid w:val="00F82C02"/>
    <w:rsid w:val="00F95078"/>
    <w:rsid w:val="00F950F9"/>
    <w:rsid w:val="00F97804"/>
    <w:rsid w:val="00FA7A34"/>
    <w:rsid w:val="00FB0274"/>
    <w:rsid w:val="00FB1561"/>
    <w:rsid w:val="00FB431C"/>
    <w:rsid w:val="00FB503A"/>
    <w:rsid w:val="00FB7455"/>
    <w:rsid w:val="00FC08B5"/>
    <w:rsid w:val="00FC08C3"/>
    <w:rsid w:val="00FC5AD0"/>
    <w:rsid w:val="00FC7FB0"/>
    <w:rsid w:val="00FD0536"/>
    <w:rsid w:val="00FD2AAB"/>
    <w:rsid w:val="00FD58C3"/>
    <w:rsid w:val="00FE2423"/>
    <w:rsid w:val="00FE31A7"/>
    <w:rsid w:val="00FE3436"/>
    <w:rsid w:val="00FE3B3F"/>
    <w:rsid w:val="00FE3B9B"/>
    <w:rsid w:val="00FE5581"/>
    <w:rsid w:val="00FE7EA9"/>
    <w:rsid w:val="00FF6853"/>
    <w:rsid w:val="00FF74EE"/>
    <w:rsid w:val="01F85060"/>
    <w:rsid w:val="05E946A5"/>
    <w:rsid w:val="0CE71A28"/>
    <w:rsid w:val="0E28536F"/>
    <w:rsid w:val="0F2A3B48"/>
    <w:rsid w:val="182B4062"/>
    <w:rsid w:val="1ABA7C06"/>
    <w:rsid w:val="1B6057A8"/>
    <w:rsid w:val="1F2C61E4"/>
    <w:rsid w:val="20AE78FA"/>
    <w:rsid w:val="22B43C28"/>
    <w:rsid w:val="22F852DF"/>
    <w:rsid w:val="24E92032"/>
    <w:rsid w:val="2CCE0CF0"/>
    <w:rsid w:val="2DC93B30"/>
    <w:rsid w:val="2DE325B7"/>
    <w:rsid w:val="3089320B"/>
    <w:rsid w:val="316D7F95"/>
    <w:rsid w:val="333D582D"/>
    <w:rsid w:val="3A852601"/>
    <w:rsid w:val="3B5E14B3"/>
    <w:rsid w:val="3C8672B5"/>
    <w:rsid w:val="4CB72127"/>
    <w:rsid w:val="510101F7"/>
    <w:rsid w:val="53874D55"/>
    <w:rsid w:val="548F66DD"/>
    <w:rsid w:val="569B4898"/>
    <w:rsid w:val="5886339B"/>
    <w:rsid w:val="5C2A290D"/>
    <w:rsid w:val="61AB2AA7"/>
    <w:rsid w:val="632C72A6"/>
    <w:rsid w:val="65061CC5"/>
    <w:rsid w:val="659F28F0"/>
    <w:rsid w:val="660B16B8"/>
    <w:rsid w:val="66E12CA8"/>
    <w:rsid w:val="68A4346F"/>
    <w:rsid w:val="69E82621"/>
    <w:rsid w:val="6BC72F6D"/>
    <w:rsid w:val="6D47596F"/>
    <w:rsid w:val="6E4A53C9"/>
    <w:rsid w:val="6E61354D"/>
    <w:rsid w:val="6EE228D0"/>
    <w:rsid w:val="70CA490A"/>
    <w:rsid w:val="729B1292"/>
    <w:rsid w:val="72CC2838"/>
    <w:rsid w:val="72EE78DD"/>
    <w:rsid w:val="72F82F32"/>
    <w:rsid w:val="756F7E94"/>
    <w:rsid w:val="7A495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承德市财政局教科文科</Company>
  <Pages>12</Pages>
  <Words>5111</Words>
  <Characters>5507</Characters>
  <Lines>23</Lines>
  <Paragraphs>6</Paragraphs>
  <TotalTime>6</TotalTime>
  <ScaleCrop>false</ScaleCrop>
  <LinksUpToDate>false</LinksUpToDate>
  <CharactersWithSpaces>5571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2018-03-01T02:00:00Z</dcterms:created>
  <dc:creator>ibm</dc:creator>
  <cp:lastModifiedBy>冰冰</cp:lastModifiedBy>
  <cp:lastPrinted>2015-04-13T01:15:00Z</cp:lastPrinted>
  <dcterms:modified xsi:type="dcterms:W3CDTF">2023-06-01T06:07:29Z</dcterms:modified>
  <dc:title>办公室</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B2F8493F705949CABAB41EF1860874DB_12</vt:lpwstr>
  </property>
</Properties>
</file>