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93" w:type="dxa"/>
        <w:tblLayout w:type="fixed"/>
        <w:tblCellMar>
          <w:top w:w="0" w:type="dxa"/>
          <w:left w:w="108" w:type="dxa"/>
          <w:bottom w:w="0" w:type="dxa"/>
          <w:right w:w="108" w:type="dxa"/>
        </w:tblCellMar>
      </w:tblPr>
      <w:tblGrid>
        <w:gridCol w:w="673"/>
        <w:gridCol w:w="1933"/>
        <w:gridCol w:w="943"/>
        <w:gridCol w:w="4224"/>
        <w:gridCol w:w="6036"/>
      </w:tblGrid>
      <w:tr>
        <w:tblPrEx>
          <w:tblCellMar>
            <w:top w:w="0" w:type="dxa"/>
            <w:left w:w="108" w:type="dxa"/>
            <w:bottom w:w="0" w:type="dxa"/>
            <w:right w:w="108" w:type="dxa"/>
          </w:tblCellMar>
        </w:tblPrEx>
        <w:trPr>
          <w:trHeight w:val="540" w:hRule="atLeast"/>
        </w:trPr>
        <w:tc>
          <w:tcPr>
            <w:tcW w:w="13809" w:type="dxa"/>
            <w:gridSpan w:val="5"/>
            <w:tcBorders>
              <w:top w:val="nil"/>
              <w:left w:val="nil"/>
              <w:bottom w:val="nil"/>
              <w:right w:val="nil"/>
            </w:tcBorders>
            <w:shd w:val="clear" w:color="auto" w:fill="auto"/>
            <w:noWrap/>
            <w:vAlign w:val="top"/>
          </w:tcPr>
          <w:p>
            <w:pPr>
              <w:widowControl/>
              <w:jc w:val="left"/>
              <w:rPr>
                <w:rFonts w:ascii="宋体" w:hAnsi="宋体" w:eastAsia="宋体" w:cs="宋体"/>
                <w:color w:val="auto"/>
                <w:kern w:val="0"/>
                <w:sz w:val="18"/>
                <w:szCs w:val="18"/>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 xml:space="preserve">：                 </w:t>
            </w:r>
            <w:r>
              <w:rPr>
                <w:rFonts w:hint="eastAsia" w:ascii="方正小标宋简体" w:hAnsi="方正小标宋简体" w:eastAsia="方正小标宋简体" w:cs="方正小标宋简体"/>
                <w:color w:val="auto"/>
                <w:kern w:val="0"/>
                <w:sz w:val="44"/>
                <w:szCs w:val="44"/>
              </w:rPr>
              <w:t>承德市税费征管协助事项清单</w:t>
            </w:r>
          </w:p>
        </w:tc>
      </w:tr>
      <w:tr>
        <w:tblPrEx>
          <w:tblCellMar>
            <w:top w:w="0" w:type="dxa"/>
            <w:left w:w="108" w:type="dxa"/>
            <w:bottom w:w="0" w:type="dxa"/>
            <w:right w:w="108" w:type="dxa"/>
          </w:tblCellMar>
        </w:tblPrEx>
        <w:trPr>
          <w:trHeight w:val="90"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193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责任部门</w:t>
            </w:r>
          </w:p>
        </w:tc>
        <w:tc>
          <w:tcPr>
            <w:tcW w:w="94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协作事项</w:t>
            </w:r>
          </w:p>
        </w:tc>
        <w:tc>
          <w:tcPr>
            <w:tcW w:w="4224"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工作机制</w:t>
            </w:r>
          </w:p>
        </w:tc>
        <w:tc>
          <w:tcPr>
            <w:tcW w:w="6036"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文件依据</w:t>
            </w:r>
          </w:p>
        </w:tc>
      </w:tr>
      <w:tr>
        <w:tblPrEx>
          <w:tblCellMar>
            <w:top w:w="0" w:type="dxa"/>
            <w:left w:w="108" w:type="dxa"/>
            <w:bottom w:w="0" w:type="dxa"/>
            <w:right w:w="108" w:type="dxa"/>
          </w:tblCellMar>
        </w:tblPrEx>
        <w:trPr>
          <w:trHeight w:val="312" w:hRule="atLeast"/>
        </w:trPr>
        <w:tc>
          <w:tcPr>
            <w:tcW w:w="67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193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数据和政务服务</w:t>
            </w:r>
            <w:r>
              <w:rPr>
                <w:rFonts w:hint="eastAsia" w:ascii="宋体" w:hAnsi="宋体" w:eastAsia="宋体" w:cs="宋体"/>
                <w:color w:val="auto"/>
                <w:kern w:val="0"/>
                <w:sz w:val="18"/>
                <w:szCs w:val="18"/>
              </w:rPr>
              <w:t>、市场</w:t>
            </w:r>
            <w:r>
              <w:rPr>
                <w:rFonts w:hint="eastAsia" w:ascii="宋体" w:hAnsi="宋体" w:eastAsia="宋体" w:cs="宋体"/>
                <w:color w:val="auto"/>
                <w:kern w:val="0"/>
                <w:sz w:val="18"/>
                <w:szCs w:val="18"/>
                <w:lang w:eastAsia="zh-CN"/>
              </w:rPr>
              <w:t>监督管理</w:t>
            </w:r>
            <w:r>
              <w:rPr>
                <w:rFonts w:hint="eastAsia" w:ascii="宋体" w:hAnsi="宋体" w:eastAsia="宋体" w:cs="宋体"/>
                <w:color w:val="auto"/>
                <w:kern w:val="0"/>
                <w:sz w:val="18"/>
                <w:szCs w:val="18"/>
              </w:rPr>
              <w:t>、教育、司法、财政</w:t>
            </w:r>
            <w:r>
              <w:rPr>
                <w:rFonts w:hint="eastAsia" w:ascii="宋体" w:hAnsi="宋体" w:eastAsia="宋体" w:cs="宋体"/>
                <w:color w:val="auto"/>
                <w:kern w:val="0"/>
                <w:sz w:val="18"/>
                <w:szCs w:val="18"/>
                <w:lang w:eastAsia="zh-CN"/>
              </w:rPr>
              <w:t>等</w:t>
            </w:r>
            <w:r>
              <w:rPr>
                <w:rFonts w:hint="eastAsia" w:ascii="宋体" w:hAnsi="宋体" w:eastAsia="宋体" w:cs="宋体"/>
                <w:color w:val="auto"/>
                <w:kern w:val="0"/>
                <w:sz w:val="18"/>
                <w:szCs w:val="18"/>
              </w:rPr>
              <w:t>部门</w:t>
            </w:r>
          </w:p>
        </w:tc>
        <w:tc>
          <w:tcPr>
            <w:tcW w:w="94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税务清算前置</w:t>
            </w:r>
          </w:p>
        </w:tc>
        <w:tc>
          <w:tcPr>
            <w:tcW w:w="4224"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市场主体登记机关在受理相关注销登记申请时，应当依法查验清税（清理社保费）证明或者注销税务登记情况；未能提供的，应当告知其先行取得清税（清理社保费）证明或者注销税务登记。</w:t>
            </w:r>
          </w:p>
        </w:tc>
        <w:tc>
          <w:tcPr>
            <w:tcW w:w="6036" w:type="dxa"/>
            <w:vMerge w:val="restart"/>
            <w:tcBorders>
              <w:top w:val="nil"/>
              <w:left w:val="single" w:color="auto" w:sz="4" w:space="0"/>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《河北省税收征管保障办法》                                                    第十一条，省税务机关和市场监督管理部门应当建立健全市场主体登记数据质量和传输情况的对账机制，定期进行数据质量比对分析，保证登记信息传输质量和效率。 市场主体登记机关办理市场主体注销登记，应当依法查验税务机关出具的清税证明。办理个人转让股权变更登记，应当依法查验与该股权交易相关的个人所得税完税凭证。                                                                   《河北省社会保险费征收管理暂行办法》                                          第十四条，缴费单位依法终止，应当在结清应缴纳的社会保险费、滞纳金、罚款后，到社保经办机构办理注销社会保险登记手续。自办理注销社会保险登记手续之日起15日内，持社会保险经办机构批准注销的文件，到主管税务机关征收部门办理注销社会保险缴费登记手续。</w:t>
            </w:r>
          </w:p>
        </w:tc>
      </w:tr>
      <w:tr>
        <w:tblPrEx>
          <w:tblCellMar>
            <w:top w:w="0" w:type="dxa"/>
            <w:left w:w="108" w:type="dxa"/>
            <w:bottom w:w="0" w:type="dxa"/>
            <w:right w:w="108" w:type="dxa"/>
          </w:tblCellMar>
        </w:tblPrEx>
        <w:trPr>
          <w:trHeight w:val="315"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15"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210"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690" w:hRule="atLeast"/>
        </w:trPr>
        <w:tc>
          <w:tcPr>
            <w:tcW w:w="67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193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数据和政务服务</w:t>
            </w:r>
            <w:r>
              <w:rPr>
                <w:rFonts w:hint="eastAsia" w:ascii="宋体" w:hAnsi="宋体" w:eastAsia="宋体" w:cs="宋体"/>
                <w:color w:val="auto"/>
                <w:kern w:val="0"/>
                <w:sz w:val="18"/>
                <w:szCs w:val="18"/>
              </w:rPr>
              <w:t>、市场</w:t>
            </w:r>
            <w:r>
              <w:rPr>
                <w:rFonts w:hint="eastAsia" w:ascii="宋体" w:hAnsi="宋体" w:eastAsia="宋体" w:cs="宋体"/>
                <w:color w:val="auto"/>
                <w:kern w:val="0"/>
                <w:sz w:val="18"/>
                <w:szCs w:val="18"/>
                <w:lang w:eastAsia="zh-CN"/>
              </w:rPr>
              <w:t>监督管理等部门</w:t>
            </w:r>
          </w:p>
        </w:tc>
        <w:tc>
          <w:tcPr>
            <w:tcW w:w="94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个人股权变更涉税前置</w:t>
            </w:r>
          </w:p>
        </w:tc>
        <w:tc>
          <w:tcPr>
            <w:tcW w:w="4224"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市场</w:t>
            </w:r>
            <w:r>
              <w:rPr>
                <w:rFonts w:hint="eastAsia" w:ascii="宋体" w:hAnsi="宋体" w:eastAsia="宋体" w:cs="宋体"/>
                <w:color w:val="auto"/>
                <w:kern w:val="0"/>
                <w:sz w:val="18"/>
                <w:szCs w:val="18"/>
                <w:lang w:eastAsia="zh-CN"/>
              </w:rPr>
              <w:t>监督管理部门</w:t>
            </w:r>
            <w:r>
              <w:rPr>
                <w:rFonts w:hint="eastAsia" w:ascii="宋体" w:hAnsi="宋体" w:eastAsia="宋体" w:cs="宋体"/>
                <w:color w:val="auto"/>
                <w:kern w:val="0"/>
                <w:sz w:val="18"/>
                <w:szCs w:val="18"/>
              </w:rPr>
              <w:t>办理转让个人股权变更登记时，应当依法查验与该股权交易相关的完税凭证；查验无结果或者查验结果异常的，应当告知纳税人依法申报缴纳个人所得税。</w:t>
            </w:r>
          </w:p>
        </w:tc>
        <w:tc>
          <w:tcPr>
            <w:tcW w:w="6036"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《河北省税收征管保障办法》                                                    第十一条，省税务机关和市场监督管理部门应当建立健全市场主体登记数据质量和传输情况的对账机制，定期进行数据质量比对分析，保证登记信息传输质量和效率。 市场主体登记机关办理市场主体注销登记，应当依法查验税务机关出具的清税证明。办理个人转让股权变更登记，应当依法查验与该股权交易相关的个人所得税完税凭证。</w:t>
            </w:r>
          </w:p>
        </w:tc>
      </w:tr>
      <w:tr>
        <w:tblPrEx>
          <w:tblCellMar>
            <w:top w:w="0" w:type="dxa"/>
            <w:left w:w="108" w:type="dxa"/>
            <w:bottom w:w="0" w:type="dxa"/>
            <w:right w:w="108" w:type="dxa"/>
          </w:tblCellMar>
        </w:tblPrEx>
        <w:trPr>
          <w:trHeight w:val="312"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1758"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公安机关交通管理部门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车购税完税前置</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公安机关交通管理部门办理车辆相关登记手续时，应当依据国家有关规定核查车辆购置税完税或者免税信息后办理相关手续。</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第十二条，公安机关交通管理部门办理车辆注册登记，应当依法核查车辆购置税、车船税完税或者免税证明。办理车辆定期检验手续，应当依法核查车船税完税或者免税证明。 </w:t>
            </w:r>
          </w:p>
        </w:tc>
      </w:tr>
      <w:tr>
        <w:tblPrEx>
          <w:tblCellMar>
            <w:top w:w="0" w:type="dxa"/>
            <w:left w:w="108" w:type="dxa"/>
            <w:bottom w:w="0" w:type="dxa"/>
            <w:right w:w="108" w:type="dxa"/>
          </w:tblCellMar>
        </w:tblPrEx>
        <w:trPr>
          <w:trHeight w:val="350"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193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协作部门</w:t>
            </w:r>
          </w:p>
        </w:tc>
        <w:tc>
          <w:tcPr>
            <w:tcW w:w="94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协作事项</w:t>
            </w:r>
          </w:p>
        </w:tc>
        <w:tc>
          <w:tcPr>
            <w:tcW w:w="4224"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协作机制</w:t>
            </w:r>
          </w:p>
        </w:tc>
        <w:tc>
          <w:tcPr>
            <w:tcW w:w="6036"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文件依据</w:t>
            </w:r>
          </w:p>
        </w:tc>
      </w:tr>
      <w:tr>
        <w:tblPrEx>
          <w:tblCellMar>
            <w:top w:w="0" w:type="dxa"/>
            <w:left w:w="108" w:type="dxa"/>
            <w:bottom w:w="0" w:type="dxa"/>
            <w:right w:w="108" w:type="dxa"/>
          </w:tblCellMar>
        </w:tblPrEx>
        <w:trPr>
          <w:trHeight w:val="1154"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公安机关车辆管理部门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车船税完税前置</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公安机关车辆管理部门办理车辆相关检验手续时，应当依据国家有关规定核查车船税完税或者免税信息后办理相关手续。</w:t>
            </w:r>
          </w:p>
        </w:tc>
        <w:tc>
          <w:tcPr>
            <w:tcW w:w="6036"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《河北省税收征管保障办法》                                                    第十二条，公安机关交通管理部门办理车辆注册登记，应当依法核查车辆购置税、车船税完税或者免税证明。办理车辆定期检验手续，应当依法核查车船税完税或者免税证明。</w:t>
            </w:r>
          </w:p>
        </w:tc>
      </w:tr>
      <w:tr>
        <w:tblPrEx>
          <w:tblCellMar>
            <w:top w:w="0" w:type="dxa"/>
            <w:left w:w="108" w:type="dxa"/>
            <w:bottom w:w="0" w:type="dxa"/>
            <w:right w:w="108" w:type="dxa"/>
          </w:tblCellMar>
        </w:tblPrEx>
        <w:trPr>
          <w:trHeight w:val="1842"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不动产登记机构</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不动产权属登记涉税前置</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不动产登记机构办理土地、房屋权属登记时，应当依法查验与该土地、房屋权属登记相关的完税、减免税等有关信息。未按照规定缴纳土地增值税、契税的，不动产登记机构依法不予办理土地、房屋权属登记。</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第十三条，不动产登记机构办理土地、房屋权属登记时，应当依法查验与该土地、房屋权属登记相关的完税、减免税凭证或者有关信息。 税务机关依法查封纳税人不动产，需要不动产登记机构办理查封登记的，应当提交协助执行通知书、税务人员工作证明等材料，不动产登记机构应当依法办理查封登记。 </w:t>
            </w:r>
          </w:p>
        </w:tc>
      </w:tr>
      <w:tr>
        <w:tblPrEx>
          <w:tblCellMar>
            <w:top w:w="0" w:type="dxa"/>
            <w:left w:w="108" w:type="dxa"/>
            <w:bottom w:w="0" w:type="dxa"/>
            <w:right w:w="108" w:type="dxa"/>
          </w:tblCellMar>
        </w:tblPrEx>
        <w:trPr>
          <w:trHeight w:val="540" w:hRule="atLeast"/>
        </w:trPr>
        <w:tc>
          <w:tcPr>
            <w:tcW w:w="67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193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部门</w:t>
            </w:r>
          </w:p>
        </w:tc>
        <w:tc>
          <w:tcPr>
            <w:tcW w:w="94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耕地占用税完税前置</w:t>
            </w:r>
          </w:p>
        </w:tc>
        <w:tc>
          <w:tcPr>
            <w:tcW w:w="4224"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部门发放建设用地批准书时，应当依法核查耕地占用税完税或者免税信息后办理建设用地批准书。</w:t>
            </w:r>
          </w:p>
        </w:tc>
        <w:tc>
          <w:tcPr>
            <w:tcW w:w="6036" w:type="dxa"/>
            <w:vMerge w:val="restart"/>
            <w:tcBorders>
              <w:top w:val="nil"/>
              <w:left w:val="single" w:color="auto" w:sz="4" w:space="0"/>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《中华人民共和国耕地占用税法》                                                第十条，耕地占用税的纳税义务发生时间为纳税人收到自然资源主管部门办理占用耕地手续的书面通知的当日。纳税人应当自纳税义务发生之日起三十日内申报缴纳耕地占用税。自然资源主管部门凭耕地占用税完税凭证或者免税凭证和其他有关文件发放建设用地批准书。</w:t>
            </w:r>
          </w:p>
        </w:tc>
      </w:tr>
      <w:tr>
        <w:tblPrEx>
          <w:tblCellMar>
            <w:top w:w="0" w:type="dxa"/>
            <w:left w:w="108" w:type="dxa"/>
            <w:bottom w:w="0" w:type="dxa"/>
            <w:right w:w="108" w:type="dxa"/>
          </w:tblCellMar>
        </w:tblPrEx>
        <w:trPr>
          <w:trHeight w:val="2270"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12" w:hRule="atLeast"/>
        </w:trPr>
        <w:tc>
          <w:tcPr>
            <w:tcW w:w="67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193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、生态环境、</w:t>
            </w:r>
            <w:r>
              <w:rPr>
                <w:rFonts w:hint="eastAsia" w:ascii="宋体" w:hAnsi="宋体" w:eastAsia="宋体" w:cs="宋体"/>
                <w:color w:val="auto"/>
                <w:kern w:val="0"/>
                <w:sz w:val="18"/>
                <w:szCs w:val="18"/>
                <w:lang w:eastAsia="zh-CN"/>
              </w:rPr>
              <w:t>水务</w:t>
            </w:r>
            <w:r>
              <w:rPr>
                <w:rFonts w:hint="eastAsia" w:ascii="宋体" w:hAnsi="宋体" w:eastAsia="宋体" w:cs="宋体"/>
                <w:color w:val="auto"/>
                <w:kern w:val="0"/>
                <w:sz w:val="18"/>
                <w:szCs w:val="18"/>
              </w:rPr>
              <w:t>、农业农村</w:t>
            </w:r>
            <w:r>
              <w:rPr>
                <w:rFonts w:hint="eastAsia" w:ascii="宋体" w:hAnsi="宋体" w:eastAsia="宋体" w:cs="宋体"/>
                <w:color w:val="auto"/>
                <w:kern w:val="0"/>
                <w:sz w:val="18"/>
                <w:szCs w:val="18"/>
                <w:lang w:eastAsia="zh-CN"/>
              </w:rPr>
              <w:t>等</w:t>
            </w:r>
            <w:r>
              <w:rPr>
                <w:rFonts w:hint="eastAsia" w:ascii="宋体" w:hAnsi="宋体" w:eastAsia="宋体" w:cs="宋体"/>
                <w:color w:val="auto"/>
                <w:kern w:val="0"/>
                <w:sz w:val="18"/>
                <w:szCs w:val="18"/>
              </w:rPr>
              <w:t>部门</w:t>
            </w:r>
          </w:p>
        </w:tc>
        <w:tc>
          <w:tcPr>
            <w:tcW w:w="94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环境保护税、耕地占用税、资源税等特定税种涉税事项复核</w:t>
            </w:r>
          </w:p>
        </w:tc>
        <w:tc>
          <w:tcPr>
            <w:tcW w:w="4224"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根据税务机关开展环境保护税、耕地占用税、资源税等特定税种征收管理需要，对税务机关提请的涉税事项进行复核，并及时出具复核意见。</w:t>
            </w:r>
          </w:p>
        </w:tc>
        <w:tc>
          <w:tcPr>
            <w:tcW w:w="6036" w:type="dxa"/>
            <w:vMerge w:val="restart"/>
            <w:tcBorders>
              <w:top w:val="nil"/>
              <w:left w:val="single" w:color="auto" w:sz="4" w:space="0"/>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十四条，税务机关发现纳税人申报的环境保护税、耕地占用税等特定税种数据资料异常或者未按照规定期限办理纳税申报的，可以提请生态环境、自然资源、水行政、农业农村等部门依法进行复核，有关部门应当在规定时间内出具复核意见。税务机关应当按照有关部门复核的数据资料依法调整纳税人的应纳税额。 </w:t>
            </w:r>
          </w:p>
        </w:tc>
      </w:tr>
      <w:tr>
        <w:tblPrEx>
          <w:tblCellMar>
            <w:top w:w="0" w:type="dxa"/>
            <w:left w:w="108" w:type="dxa"/>
            <w:bottom w:w="0" w:type="dxa"/>
            <w:right w:w="108" w:type="dxa"/>
          </w:tblCellMar>
        </w:tblPrEx>
        <w:trPr>
          <w:trHeight w:val="312"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980"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95"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193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协作部门</w:t>
            </w:r>
          </w:p>
        </w:tc>
        <w:tc>
          <w:tcPr>
            <w:tcW w:w="94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协作事项</w:t>
            </w:r>
          </w:p>
        </w:tc>
        <w:tc>
          <w:tcPr>
            <w:tcW w:w="4224"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协作机制</w:t>
            </w:r>
          </w:p>
        </w:tc>
        <w:tc>
          <w:tcPr>
            <w:tcW w:w="6036"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文件依据</w:t>
            </w:r>
          </w:p>
        </w:tc>
      </w:tr>
      <w:tr>
        <w:tblPrEx>
          <w:tblCellMar>
            <w:top w:w="0" w:type="dxa"/>
            <w:left w:w="108" w:type="dxa"/>
            <w:bottom w:w="0" w:type="dxa"/>
            <w:right w:w="108" w:type="dxa"/>
          </w:tblCellMar>
        </w:tblPrEx>
        <w:trPr>
          <w:trHeight w:val="2650"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公安</w:t>
            </w:r>
            <w:r>
              <w:rPr>
                <w:rFonts w:hint="eastAsia" w:ascii="宋体" w:hAnsi="宋体" w:eastAsia="宋体" w:cs="宋体"/>
                <w:color w:val="auto"/>
                <w:kern w:val="0"/>
                <w:sz w:val="18"/>
                <w:szCs w:val="18"/>
                <w:lang w:eastAsia="zh-CN"/>
              </w:rPr>
              <w:t>机关</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身份信息核查</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税务机关因税收征收管理、案件办理需要，需要确认纳税人身份信息的，可以向公安机关查询纳税人以及其他涉税人员身份证明、流动人口居住登记情况、境内外人员出入境记录等信息，公安机关应当按照规定予以配合。</w:t>
            </w:r>
          </w:p>
        </w:tc>
        <w:tc>
          <w:tcPr>
            <w:tcW w:w="6036"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《河北省税收征管保障办法》                                                    第十六条，税务机关依法查询从事生产、经营的纳税人的开立账户情况时，有关银行和其他金融机构应当予以协助。税务机关在执行职务时，需要确认纳税人身份信息的，公安机关应当予以协助。</w:t>
            </w:r>
          </w:p>
        </w:tc>
      </w:tr>
      <w:tr>
        <w:tblPrEx>
          <w:tblCellMar>
            <w:top w:w="0" w:type="dxa"/>
            <w:left w:w="108" w:type="dxa"/>
            <w:bottom w:w="0" w:type="dxa"/>
            <w:right w:w="108" w:type="dxa"/>
          </w:tblCellMar>
        </w:tblPrEx>
        <w:trPr>
          <w:trHeight w:val="2160" w:hRule="atLeast"/>
        </w:trPr>
        <w:tc>
          <w:tcPr>
            <w:tcW w:w="67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193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公安</w:t>
            </w:r>
            <w:r>
              <w:rPr>
                <w:rFonts w:hint="eastAsia" w:ascii="宋体" w:hAnsi="宋体" w:eastAsia="宋体" w:cs="宋体"/>
                <w:color w:val="auto"/>
                <w:kern w:val="0"/>
                <w:sz w:val="18"/>
                <w:szCs w:val="18"/>
                <w:lang w:eastAsia="zh-CN"/>
              </w:rPr>
              <w:t>机关</w:t>
            </w:r>
            <w:r>
              <w:rPr>
                <w:rFonts w:hint="eastAsia" w:ascii="宋体" w:hAnsi="宋体" w:eastAsia="宋体" w:cs="宋体"/>
                <w:color w:val="auto"/>
                <w:kern w:val="0"/>
                <w:sz w:val="18"/>
                <w:szCs w:val="18"/>
              </w:rPr>
              <w:t>、民政、</w:t>
            </w:r>
            <w:r>
              <w:rPr>
                <w:rFonts w:hint="eastAsia" w:ascii="宋体" w:hAnsi="宋体" w:eastAsia="宋体" w:cs="宋体"/>
                <w:color w:val="auto"/>
                <w:kern w:val="0"/>
                <w:sz w:val="18"/>
                <w:szCs w:val="18"/>
                <w:lang w:eastAsia="zh-CN"/>
              </w:rPr>
              <w:t>人民</w:t>
            </w:r>
            <w:r>
              <w:rPr>
                <w:rFonts w:hint="eastAsia" w:ascii="宋体" w:hAnsi="宋体" w:eastAsia="宋体" w:cs="宋体"/>
                <w:color w:val="auto"/>
                <w:kern w:val="0"/>
                <w:sz w:val="18"/>
                <w:szCs w:val="18"/>
              </w:rPr>
              <w:t>法院、教育、人力资源</w:t>
            </w:r>
            <w:r>
              <w:rPr>
                <w:rFonts w:hint="eastAsia" w:ascii="宋体" w:hAnsi="宋体" w:eastAsia="宋体" w:cs="宋体"/>
                <w:color w:val="auto"/>
                <w:kern w:val="0"/>
                <w:sz w:val="18"/>
                <w:szCs w:val="18"/>
                <w:lang w:eastAsia="zh-CN"/>
              </w:rPr>
              <w:t>和社</w:t>
            </w:r>
            <w:r>
              <w:rPr>
                <w:rFonts w:hint="eastAsia" w:ascii="宋体" w:hAnsi="宋体" w:eastAsia="宋体" w:cs="宋体"/>
                <w:color w:val="auto"/>
                <w:kern w:val="0"/>
                <w:sz w:val="18"/>
                <w:szCs w:val="18"/>
              </w:rPr>
              <w:t>会保障、住房</w:t>
            </w:r>
            <w:r>
              <w:rPr>
                <w:rFonts w:hint="eastAsia" w:ascii="宋体" w:hAnsi="宋体" w:eastAsia="宋体" w:cs="宋体"/>
                <w:color w:val="auto"/>
                <w:kern w:val="0"/>
                <w:sz w:val="18"/>
                <w:szCs w:val="18"/>
                <w:lang w:eastAsia="zh-CN"/>
              </w:rPr>
              <w:t>和</w:t>
            </w:r>
            <w:r>
              <w:rPr>
                <w:rFonts w:hint="eastAsia" w:ascii="宋体" w:hAnsi="宋体" w:eastAsia="宋体" w:cs="宋体"/>
                <w:color w:val="auto"/>
                <w:kern w:val="0"/>
                <w:sz w:val="18"/>
                <w:szCs w:val="18"/>
              </w:rPr>
              <w:t>城乡建设、自然资源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、金融机构、医疗保障等部门</w:t>
            </w:r>
          </w:p>
        </w:tc>
        <w:tc>
          <w:tcPr>
            <w:tcW w:w="94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专项附加扣除信息核实</w:t>
            </w:r>
          </w:p>
        </w:tc>
        <w:tc>
          <w:tcPr>
            <w:tcW w:w="4224"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有关部门和单位根据税务机关开展个人所得税征收管理需要，及时向税务部门提供或者协助核实以下与专项附加扣除有关的信息：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（一）公安部门有关户籍人口基本信息、户成员关系信息、出入境证件信息、相关出国人员信息、户籍人口死亡标识等信息；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（二）民政、</w:t>
            </w:r>
            <w:r>
              <w:rPr>
                <w:rFonts w:hint="eastAsia" w:ascii="宋体" w:hAnsi="宋体" w:eastAsia="宋体" w:cs="宋体"/>
                <w:color w:val="auto"/>
                <w:kern w:val="0"/>
                <w:sz w:val="18"/>
                <w:szCs w:val="18"/>
                <w:lang w:eastAsia="zh-CN"/>
              </w:rPr>
              <w:t>人民</w:t>
            </w:r>
            <w:r>
              <w:rPr>
                <w:rFonts w:hint="eastAsia" w:ascii="宋体" w:hAnsi="宋体" w:eastAsia="宋体" w:cs="宋体"/>
                <w:color w:val="auto"/>
                <w:kern w:val="0"/>
                <w:sz w:val="18"/>
                <w:szCs w:val="18"/>
              </w:rPr>
              <w:t>法院</w:t>
            </w:r>
            <w:r>
              <w:rPr>
                <w:rFonts w:hint="eastAsia" w:ascii="宋体" w:hAnsi="宋体" w:eastAsia="宋体" w:cs="宋体"/>
                <w:color w:val="auto"/>
                <w:kern w:val="0"/>
                <w:sz w:val="18"/>
                <w:szCs w:val="18"/>
                <w:lang w:eastAsia="zh-CN"/>
              </w:rPr>
              <w:t>等部门</w:t>
            </w:r>
            <w:r>
              <w:rPr>
                <w:rFonts w:hint="eastAsia" w:ascii="宋体" w:hAnsi="宋体" w:eastAsia="宋体" w:cs="宋体"/>
                <w:color w:val="auto"/>
                <w:kern w:val="0"/>
                <w:sz w:val="18"/>
                <w:szCs w:val="18"/>
              </w:rPr>
              <w:t>有关婚姻状况信息；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（三）教育部门有关学生学籍信息（包括学历继续教育学生学籍、考籍信息）、在相关部门备案的境外教育机构资质信息；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（四）人力资源</w:t>
            </w:r>
            <w:r>
              <w:rPr>
                <w:rFonts w:hint="eastAsia" w:ascii="宋体" w:hAnsi="宋体" w:eastAsia="宋体" w:cs="宋体"/>
                <w:color w:val="auto"/>
                <w:kern w:val="0"/>
                <w:sz w:val="18"/>
                <w:szCs w:val="18"/>
                <w:lang w:eastAsia="zh-CN"/>
              </w:rPr>
              <w:t>和</w:t>
            </w:r>
            <w:r>
              <w:rPr>
                <w:rFonts w:hint="eastAsia" w:ascii="宋体" w:hAnsi="宋体" w:eastAsia="宋体" w:cs="宋体"/>
                <w:color w:val="auto"/>
                <w:kern w:val="0"/>
                <w:sz w:val="18"/>
                <w:szCs w:val="18"/>
              </w:rPr>
              <w:t>社会保障等部门有关技工院校学生学籍信息、技能人员职业资格继续教育信息、专业技术人员职业资格继续教育信息；</w:t>
            </w:r>
          </w:p>
        </w:tc>
        <w:tc>
          <w:tcPr>
            <w:tcW w:w="6036" w:type="dxa"/>
            <w:vMerge w:val="restart"/>
            <w:tcBorders>
              <w:top w:val="nil"/>
              <w:left w:val="single" w:color="auto" w:sz="4" w:space="0"/>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《中华人民共和国个人所得税法》                                                第十五条，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有关部门依法将纳税人、扣缴义务人遵守本法的情况纳入信用信息系统，并实施联合激励或者惩戒。</w:t>
            </w:r>
          </w:p>
        </w:tc>
      </w:tr>
      <w:tr>
        <w:tblPrEx>
          <w:tblCellMar>
            <w:top w:w="0" w:type="dxa"/>
            <w:left w:w="108" w:type="dxa"/>
            <w:bottom w:w="0" w:type="dxa"/>
            <w:right w:w="108" w:type="dxa"/>
          </w:tblCellMar>
        </w:tblPrEx>
        <w:trPr>
          <w:trHeight w:val="1710"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60"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12"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942"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35"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193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协作部门</w:t>
            </w:r>
          </w:p>
        </w:tc>
        <w:tc>
          <w:tcPr>
            <w:tcW w:w="94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协作事项</w:t>
            </w:r>
          </w:p>
        </w:tc>
        <w:tc>
          <w:tcPr>
            <w:tcW w:w="4224"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协作机制</w:t>
            </w:r>
          </w:p>
        </w:tc>
        <w:tc>
          <w:tcPr>
            <w:tcW w:w="6036"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文件依据</w:t>
            </w:r>
          </w:p>
        </w:tc>
      </w:tr>
      <w:tr>
        <w:tblPrEx>
          <w:tblCellMar>
            <w:top w:w="0" w:type="dxa"/>
            <w:left w:w="108" w:type="dxa"/>
            <w:bottom w:w="0" w:type="dxa"/>
            <w:right w:w="108" w:type="dxa"/>
          </w:tblCellMar>
        </w:tblPrEx>
        <w:trPr>
          <w:trHeight w:val="945" w:hRule="atLeast"/>
        </w:trPr>
        <w:tc>
          <w:tcPr>
            <w:tcW w:w="67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3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4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224" w:type="dxa"/>
            <w:vMerge w:val="restart"/>
            <w:tcBorders>
              <w:top w:val="nil"/>
              <w:left w:val="single" w:color="auto" w:sz="4" w:space="0"/>
              <w:bottom w:val="single" w:color="auto" w:sz="4" w:space="0"/>
              <w:right w:val="single" w:color="auto" w:sz="4" w:space="0"/>
            </w:tcBorders>
            <w:shd w:val="clear" w:color="auto" w:fill="auto"/>
            <w:vAlign w:val="top"/>
          </w:tcPr>
          <w:p>
            <w:pPr>
              <w:widowControl/>
              <w:numPr>
                <w:ilvl w:val="0"/>
                <w:numId w:val="1"/>
              </w:numPr>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住房</w:t>
            </w:r>
            <w:r>
              <w:rPr>
                <w:rFonts w:hint="eastAsia" w:ascii="宋体" w:hAnsi="宋体" w:eastAsia="宋体" w:cs="宋体"/>
                <w:color w:val="auto"/>
                <w:kern w:val="0"/>
                <w:sz w:val="18"/>
                <w:szCs w:val="18"/>
                <w:lang w:eastAsia="zh-CN"/>
              </w:rPr>
              <w:t>和</w:t>
            </w:r>
            <w:r>
              <w:rPr>
                <w:rFonts w:hint="eastAsia" w:ascii="宋体" w:hAnsi="宋体" w:eastAsia="宋体" w:cs="宋体"/>
                <w:color w:val="auto"/>
                <w:kern w:val="0"/>
                <w:sz w:val="18"/>
                <w:szCs w:val="18"/>
              </w:rPr>
              <w:t>城乡建设部门有关房屋（含公租房）租赁信息；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（六）自然资源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部门有关不动产登记信息；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（七）金融机构有关住房商业贷款还款支出信息；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（八）医疗保障部门有关在医疗保障信息系统记录的个人负担的医药费用信息；</w:t>
            </w:r>
          </w:p>
          <w:p>
            <w:pPr>
              <w:widowControl/>
              <w:numPr>
                <w:ilvl w:val="0"/>
                <w:numId w:val="0"/>
              </w:numPr>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（九）国务院税务主管部门确定需要提供的其他涉税信息。</w:t>
            </w:r>
          </w:p>
        </w:tc>
        <w:tc>
          <w:tcPr>
            <w:tcW w:w="6036"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569"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040" w:hRule="atLeast"/>
        </w:trPr>
        <w:tc>
          <w:tcPr>
            <w:tcW w:w="67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93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财政、自然资源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、林</w:t>
            </w:r>
            <w:r>
              <w:rPr>
                <w:rFonts w:hint="eastAsia" w:ascii="宋体" w:hAnsi="宋体" w:eastAsia="宋体" w:cs="宋体"/>
                <w:color w:val="auto"/>
                <w:kern w:val="0"/>
                <w:sz w:val="18"/>
                <w:szCs w:val="18"/>
                <w:lang w:eastAsia="zh-CN"/>
              </w:rPr>
              <w:t>业和草原等</w:t>
            </w:r>
            <w:r>
              <w:rPr>
                <w:rFonts w:hint="eastAsia" w:ascii="宋体" w:hAnsi="宋体" w:eastAsia="宋体" w:cs="宋体"/>
                <w:color w:val="auto"/>
                <w:kern w:val="0"/>
                <w:sz w:val="18"/>
                <w:szCs w:val="18"/>
              </w:rPr>
              <w:t>部门</w:t>
            </w:r>
          </w:p>
        </w:tc>
        <w:tc>
          <w:tcPr>
            <w:tcW w:w="943"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非税收入退库信息核实</w:t>
            </w:r>
          </w:p>
        </w:tc>
        <w:tc>
          <w:tcPr>
            <w:tcW w:w="4224"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国有土地使用权出让收入等新划转非税收入项目，因缴费人误缴、税务部门误收需要退库的，由缴费人向县（市、区）税务局申请办理，县级税务机关经严格审核并商有关财政、自然资源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、林</w:t>
            </w:r>
            <w:r>
              <w:rPr>
                <w:rFonts w:hint="eastAsia" w:ascii="宋体" w:hAnsi="宋体" w:eastAsia="宋体" w:cs="宋体"/>
                <w:color w:val="auto"/>
                <w:kern w:val="0"/>
                <w:sz w:val="18"/>
                <w:szCs w:val="18"/>
                <w:lang w:eastAsia="zh-CN"/>
              </w:rPr>
              <w:t>业和草原</w:t>
            </w:r>
            <w:r>
              <w:rPr>
                <w:rFonts w:hint="eastAsia" w:ascii="宋体" w:hAnsi="宋体" w:eastAsia="宋体" w:cs="宋体"/>
                <w:color w:val="auto"/>
                <w:kern w:val="0"/>
                <w:sz w:val="18"/>
                <w:szCs w:val="18"/>
              </w:rPr>
              <w:t>等部门复核同意后，按规定办理退付手续。其他情形需要退库的，由缴费人向提供有关费源信息的部门申请办理，提供有关费源信息的部门严格审核同意后，按规定办理退付手续。</w:t>
            </w:r>
          </w:p>
        </w:tc>
        <w:tc>
          <w:tcPr>
            <w:tcW w:w="6036" w:type="dxa"/>
            <w:vMerge w:val="restart"/>
            <w:tcBorders>
              <w:top w:val="nil"/>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《国家税务总局河北省税务局等四部门关于国有土地使用权出让收入、矿产资源专项收入、海域使用金、无居民海岛使用金、土地闲置费征收职责划转事项的通知》</w:t>
            </w:r>
          </w:p>
          <w:p>
            <w:pPr>
              <w:widowControl/>
              <w:jc w:val="left"/>
            </w:pPr>
            <w:r>
              <w:rPr>
                <w:rFonts w:hint="eastAsia" w:ascii="宋体" w:hAnsi="宋体" w:eastAsia="宋体" w:cs="宋体"/>
                <w:color w:val="auto"/>
                <w:kern w:val="0"/>
                <w:sz w:val="18"/>
                <w:szCs w:val="18"/>
              </w:rPr>
              <w:t>七、退库管理。四项试点划转收入资金入库后需要办理退库的，应当按照财政部门有关退库管理规定办理。其中，因缴费人误缴、税务部门误收需要退库的，由缴费人向县税务局申请办理，县税务局经严格审核并商有关财政、自然资源部门复核同意后，按规定办理退付手续；其他情形需要退库的，由缴费人向财政部门和自然资源部门申请办理。人民银行国库管理部门按规定办理退付手续。土地闲置费退库按照本通知所附流程图办理。</w:t>
            </w:r>
          </w:p>
        </w:tc>
      </w:tr>
      <w:tr>
        <w:tblPrEx>
          <w:tblCellMar>
            <w:top w:w="0" w:type="dxa"/>
            <w:left w:w="108" w:type="dxa"/>
            <w:bottom w:w="0" w:type="dxa"/>
            <w:right w:w="108" w:type="dxa"/>
          </w:tblCellMar>
        </w:tblPrEx>
        <w:trPr>
          <w:trHeight w:val="312" w:hRule="atLeast"/>
        </w:trPr>
        <w:tc>
          <w:tcPr>
            <w:tcW w:w="67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193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943"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4224"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c>
          <w:tcPr>
            <w:tcW w:w="6036"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193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协作部门</w:t>
            </w:r>
          </w:p>
        </w:tc>
        <w:tc>
          <w:tcPr>
            <w:tcW w:w="94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协作事项</w:t>
            </w:r>
          </w:p>
        </w:tc>
        <w:tc>
          <w:tcPr>
            <w:tcW w:w="4224"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协作机制</w:t>
            </w:r>
          </w:p>
        </w:tc>
        <w:tc>
          <w:tcPr>
            <w:tcW w:w="6036"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文件依据</w:t>
            </w:r>
          </w:p>
        </w:tc>
      </w:tr>
      <w:tr>
        <w:tblPrEx>
          <w:tblCellMar>
            <w:top w:w="0" w:type="dxa"/>
            <w:left w:w="108" w:type="dxa"/>
            <w:bottom w:w="0" w:type="dxa"/>
            <w:right w:w="108" w:type="dxa"/>
          </w:tblCellMar>
        </w:tblPrEx>
        <w:trPr>
          <w:trHeight w:val="3860"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11</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不动产登记机构</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不动产强制执行协同</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税务机关依法查封纳税人、扣缴义务人不动产的，查封期间，不动产登记机构根据税务机关发出生效行政决定书和协助执行通知书，依法不予受理不动产转移登记、抵押权登记等事项。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税务机关依法拍卖或者变卖纳税人、扣缴义务人不动产的，不动产登记机构根据税务机关的生效行政决定书和协助执行通知书，依法协助税务机关办理权属转移登记。</w:t>
            </w:r>
          </w:p>
        </w:tc>
        <w:tc>
          <w:tcPr>
            <w:tcW w:w="6036"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《不动产登记暂行条例实施细则》</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第十九条当事人可以持人民法院、仲裁委员会的生效法律文书或者人民政府的生效决定单方申请不动产登记。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有下列情形之一的，不动产登记机构直接办理不动产登记：（一）人民法院持生效法律文书和协助执行通知书要求不动产登记机构办理登记的；（二）人民检察院、公安机关依据法律规定持协助查封通知书要求办理查封登记的；（三）人民政府依法做出征收或者收回不动产权利决定生效后，要求不动产登记机构办理注销登记的；（四）法律、行政法规规定的其他情形。不动产登记机构认为登记事项存在异议的，应当依法向有关机关提出审查建议。</w:t>
            </w:r>
          </w:p>
        </w:tc>
      </w:tr>
      <w:tr>
        <w:tblPrEx>
          <w:tblCellMar>
            <w:top w:w="0" w:type="dxa"/>
            <w:left w:w="108" w:type="dxa"/>
            <w:bottom w:w="0" w:type="dxa"/>
            <w:right w:w="108" w:type="dxa"/>
          </w:tblCellMar>
        </w:tblPrEx>
        <w:trPr>
          <w:trHeight w:val="4600"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12</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人民</w:t>
            </w:r>
            <w:r>
              <w:rPr>
                <w:rFonts w:hint="eastAsia" w:ascii="宋体" w:hAnsi="宋体" w:eastAsia="宋体" w:cs="宋体"/>
                <w:color w:val="auto"/>
                <w:kern w:val="0"/>
                <w:sz w:val="18"/>
                <w:szCs w:val="18"/>
              </w:rPr>
              <w:t>法院、人力资源</w:t>
            </w:r>
            <w:r>
              <w:rPr>
                <w:rFonts w:hint="eastAsia" w:ascii="宋体" w:hAnsi="宋体" w:eastAsia="宋体" w:cs="宋体"/>
                <w:color w:val="auto"/>
                <w:kern w:val="0"/>
                <w:sz w:val="18"/>
                <w:szCs w:val="18"/>
                <w:lang w:eastAsia="zh-CN"/>
              </w:rPr>
              <w:t>和社</w:t>
            </w:r>
            <w:r>
              <w:rPr>
                <w:rFonts w:hint="eastAsia" w:ascii="宋体" w:hAnsi="宋体" w:eastAsia="宋体" w:cs="宋体"/>
                <w:color w:val="auto"/>
                <w:kern w:val="0"/>
                <w:sz w:val="18"/>
                <w:szCs w:val="18"/>
              </w:rPr>
              <w:t>会保障、医疗保障以及其他相关部门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破产企业税务债权申报协同</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税务机关收到人民法院的债权申报通知后，应当依法清查破产企业欠缴的税款、滞纳金、罚款，会同同级人力资源</w:t>
            </w:r>
            <w:r>
              <w:rPr>
                <w:rFonts w:hint="eastAsia" w:ascii="宋体" w:hAnsi="宋体" w:eastAsia="宋体" w:cs="宋体"/>
                <w:color w:val="auto"/>
                <w:kern w:val="0"/>
                <w:sz w:val="18"/>
                <w:szCs w:val="18"/>
                <w:lang w:eastAsia="zh-CN"/>
              </w:rPr>
              <w:t>和</w:t>
            </w:r>
            <w:r>
              <w:rPr>
                <w:rFonts w:hint="eastAsia" w:ascii="宋体" w:hAnsi="宋体" w:eastAsia="宋体" w:cs="宋体"/>
                <w:color w:val="auto"/>
                <w:kern w:val="0"/>
                <w:sz w:val="18"/>
                <w:szCs w:val="18"/>
              </w:rPr>
              <w:t>社会保障、医疗保障以及其他相关部门确定申请破产企业欠缴的社会保险费、由税务机关征收的政府非税收入及其滞纳金（违约金）、罚款，依法向破产管理人申报破产债权。</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第二十条，税务机关收到人民法院的债权申报通知后，应当依法清查破产企业欠缴的税款、滞纳金、罚款，并向破产管理人申报破产债权。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《河北省社会保险费征收管理暂行办法》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第六十四条　主管税务机关应当根据以前年度缴费单位欠费情况，强化对以前年度欠缴费款的催缴。（一）对有缴费能力的单位，及时下达《限期缴纳社会保险费通知书》，进行催缴；（二）对合并、分立、改组的单位，应当及时进行调查并与社会保险经办机构沟通情况，确定欠费承续关系，根据实际情况进行欠缴催缴；（三）对解散、撤销、破产的缴费单位，根据有关规定参加其清算，防止费款流失。</w:t>
            </w:r>
          </w:p>
        </w:tc>
      </w:tr>
      <w:tr>
        <w:tblPrEx>
          <w:tblCellMar>
            <w:top w:w="0" w:type="dxa"/>
            <w:left w:w="108" w:type="dxa"/>
            <w:bottom w:w="0" w:type="dxa"/>
            <w:right w:w="108" w:type="dxa"/>
          </w:tblCellMar>
        </w:tblPrEx>
        <w:trPr>
          <w:trHeight w:val="346"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193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协作部门</w:t>
            </w:r>
          </w:p>
        </w:tc>
        <w:tc>
          <w:tcPr>
            <w:tcW w:w="94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协作事项</w:t>
            </w:r>
          </w:p>
        </w:tc>
        <w:tc>
          <w:tcPr>
            <w:tcW w:w="4224"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协作机制</w:t>
            </w:r>
          </w:p>
        </w:tc>
        <w:tc>
          <w:tcPr>
            <w:tcW w:w="6036"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文件依据</w:t>
            </w:r>
          </w:p>
        </w:tc>
      </w:tr>
      <w:tr>
        <w:tblPrEx>
          <w:tblCellMar>
            <w:top w:w="0" w:type="dxa"/>
            <w:left w:w="108" w:type="dxa"/>
            <w:bottom w:w="0" w:type="dxa"/>
            <w:right w:w="108" w:type="dxa"/>
          </w:tblCellMar>
        </w:tblPrEx>
        <w:trPr>
          <w:trHeight w:val="2238"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13</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人力资源</w:t>
            </w:r>
            <w:r>
              <w:rPr>
                <w:rFonts w:hint="eastAsia" w:ascii="宋体" w:hAnsi="宋体" w:eastAsia="宋体" w:cs="宋体"/>
                <w:color w:val="auto"/>
                <w:kern w:val="0"/>
                <w:sz w:val="18"/>
                <w:szCs w:val="18"/>
                <w:lang w:eastAsia="zh-CN"/>
              </w:rPr>
              <w:t>和社</w:t>
            </w:r>
            <w:r>
              <w:rPr>
                <w:rFonts w:hint="eastAsia" w:ascii="宋体" w:hAnsi="宋体" w:eastAsia="宋体" w:cs="宋体"/>
                <w:color w:val="auto"/>
                <w:kern w:val="0"/>
                <w:sz w:val="18"/>
                <w:szCs w:val="18"/>
              </w:rPr>
              <w:t>会保障、医疗保障</w:t>
            </w:r>
            <w:r>
              <w:rPr>
                <w:rFonts w:hint="eastAsia" w:ascii="宋体" w:hAnsi="宋体" w:eastAsia="宋体" w:cs="宋体"/>
                <w:color w:val="auto"/>
                <w:kern w:val="0"/>
                <w:sz w:val="18"/>
                <w:szCs w:val="18"/>
                <w:lang w:eastAsia="zh-CN"/>
              </w:rPr>
              <w:t>等</w:t>
            </w:r>
            <w:r>
              <w:rPr>
                <w:rFonts w:hint="eastAsia" w:ascii="宋体" w:hAnsi="宋体" w:eastAsia="宋体" w:cs="宋体"/>
                <w:color w:val="auto"/>
                <w:kern w:val="0"/>
                <w:sz w:val="18"/>
                <w:szCs w:val="18"/>
              </w:rPr>
              <w:t>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社保登记</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缴费单位应先行在人力资源</w:t>
            </w:r>
            <w:r>
              <w:rPr>
                <w:rFonts w:hint="eastAsia" w:ascii="宋体" w:hAnsi="宋体" w:eastAsia="宋体" w:cs="宋体"/>
                <w:color w:val="auto"/>
                <w:kern w:val="0"/>
                <w:sz w:val="18"/>
                <w:szCs w:val="18"/>
                <w:lang w:eastAsia="zh-CN"/>
              </w:rPr>
              <w:t>和社</w:t>
            </w:r>
            <w:r>
              <w:rPr>
                <w:rFonts w:hint="eastAsia" w:ascii="宋体" w:hAnsi="宋体" w:eastAsia="宋体" w:cs="宋体"/>
                <w:color w:val="auto"/>
                <w:kern w:val="0"/>
                <w:sz w:val="18"/>
                <w:szCs w:val="18"/>
              </w:rPr>
              <w:t>会保障、医疗保障</w:t>
            </w:r>
            <w:r>
              <w:rPr>
                <w:rFonts w:hint="eastAsia" w:ascii="宋体" w:hAnsi="宋体" w:eastAsia="宋体" w:cs="宋体"/>
                <w:color w:val="auto"/>
                <w:kern w:val="0"/>
                <w:sz w:val="18"/>
                <w:szCs w:val="18"/>
                <w:lang w:eastAsia="zh-CN"/>
              </w:rPr>
              <w:t>等</w:t>
            </w:r>
            <w:r>
              <w:rPr>
                <w:rFonts w:hint="eastAsia" w:ascii="宋体" w:hAnsi="宋体" w:eastAsia="宋体" w:cs="宋体"/>
                <w:color w:val="auto"/>
                <w:kern w:val="0"/>
                <w:sz w:val="18"/>
                <w:szCs w:val="18"/>
              </w:rPr>
              <w:t>部门进行参保登记后，税务部门将社保登记与税务登记相互关联，才能参保缴费。人力资源</w:t>
            </w:r>
            <w:r>
              <w:rPr>
                <w:rFonts w:hint="eastAsia" w:ascii="宋体" w:hAnsi="宋体" w:eastAsia="宋体" w:cs="宋体"/>
                <w:color w:val="auto"/>
                <w:kern w:val="0"/>
                <w:sz w:val="18"/>
                <w:szCs w:val="18"/>
                <w:lang w:eastAsia="zh-CN"/>
              </w:rPr>
              <w:t>和社</w:t>
            </w:r>
            <w:r>
              <w:rPr>
                <w:rFonts w:hint="eastAsia" w:ascii="宋体" w:hAnsi="宋体" w:eastAsia="宋体" w:cs="宋体"/>
                <w:color w:val="auto"/>
                <w:kern w:val="0"/>
                <w:sz w:val="18"/>
                <w:szCs w:val="18"/>
              </w:rPr>
              <w:t>会保障</w:t>
            </w:r>
            <w:r>
              <w:rPr>
                <w:rFonts w:hint="eastAsia" w:ascii="宋体" w:hAnsi="宋体" w:eastAsia="宋体" w:cs="宋体"/>
                <w:color w:val="auto"/>
                <w:kern w:val="0"/>
                <w:sz w:val="18"/>
                <w:szCs w:val="18"/>
                <w:lang w:eastAsia="zh-CN"/>
              </w:rPr>
              <w:t>、医疗保障等</w:t>
            </w:r>
            <w:r>
              <w:rPr>
                <w:rFonts w:hint="eastAsia" w:ascii="宋体" w:hAnsi="宋体" w:eastAsia="宋体" w:cs="宋体"/>
                <w:color w:val="auto"/>
                <w:kern w:val="0"/>
                <w:sz w:val="18"/>
                <w:szCs w:val="18"/>
              </w:rPr>
              <w:t>部门应及时将参保登记及变更登记情况传递至税务机关。</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《河北省税收征管保障办法》                                                    第十条，有关部门应当按照涉税共享信息目录要求提供相关涉税信息，并确保信息真实、准确、完整。税务机关对有关部门提供的涉税信息，应当依法保管、使用，不得用于税收征管之外的其他用途。                                                          《河北省社会保险费征收管理暂行办法》                                          第三条，社会保险经办机构每月3日前未向同级税务机关传递缴费人上月办理参保登记、变更登记和注销登记情况或拒绝提供相关情况的，主管税务机关应当在积极协调解决和主动索取有关资料的同时，逐级向上级税务机关和劳动保障部门反映。社会保险经办机构所提供相关资料有误的，应当及时向社会保险经办机构反馈情况并提出更正意见。</w:t>
            </w:r>
          </w:p>
        </w:tc>
      </w:tr>
      <w:tr>
        <w:tblPrEx>
          <w:tblCellMar>
            <w:top w:w="0" w:type="dxa"/>
            <w:left w:w="108" w:type="dxa"/>
            <w:bottom w:w="0" w:type="dxa"/>
            <w:right w:w="108" w:type="dxa"/>
          </w:tblCellMar>
        </w:tblPrEx>
        <w:trPr>
          <w:trHeight w:val="2484"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14</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发展和改革委员</w:t>
            </w:r>
            <w:r>
              <w:rPr>
                <w:rFonts w:hint="eastAsia" w:ascii="宋体" w:hAnsi="宋体" w:eastAsia="宋体" w:cs="宋体"/>
                <w:color w:val="auto"/>
                <w:kern w:val="0"/>
                <w:sz w:val="18"/>
                <w:szCs w:val="18"/>
                <w:lang w:eastAsia="zh-CN"/>
              </w:rPr>
              <w:t>会</w:t>
            </w:r>
            <w:r>
              <w:rPr>
                <w:rFonts w:hint="eastAsia" w:ascii="宋体" w:hAnsi="宋体" w:eastAsia="宋体" w:cs="宋体"/>
                <w:color w:val="auto"/>
                <w:kern w:val="0"/>
                <w:sz w:val="18"/>
                <w:szCs w:val="18"/>
              </w:rPr>
              <w:t>、财政、</w:t>
            </w:r>
            <w:r>
              <w:rPr>
                <w:rFonts w:hint="eastAsia" w:ascii="宋体" w:hAnsi="宋体" w:eastAsia="宋体" w:cs="宋体"/>
                <w:color w:val="auto"/>
                <w:kern w:val="0"/>
                <w:sz w:val="18"/>
                <w:szCs w:val="18"/>
                <w:lang w:eastAsia="zh-CN"/>
              </w:rPr>
              <w:t>科学技术</w:t>
            </w:r>
            <w:r>
              <w:rPr>
                <w:rFonts w:hint="eastAsia" w:ascii="宋体" w:hAnsi="宋体" w:eastAsia="宋体" w:cs="宋体"/>
                <w:color w:val="auto"/>
                <w:kern w:val="0"/>
                <w:sz w:val="18"/>
                <w:szCs w:val="18"/>
              </w:rPr>
              <w:t>、住房</w:t>
            </w:r>
            <w:r>
              <w:rPr>
                <w:rFonts w:hint="eastAsia" w:ascii="宋体" w:hAnsi="宋体" w:eastAsia="宋体" w:cs="宋体"/>
                <w:color w:val="auto"/>
                <w:kern w:val="0"/>
                <w:sz w:val="18"/>
                <w:szCs w:val="18"/>
                <w:lang w:eastAsia="zh-CN"/>
              </w:rPr>
              <w:t>和</w:t>
            </w:r>
            <w:r>
              <w:rPr>
                <w:rFonts w:hint="eastAsia" w:ascii="宋体" w:hAnsi="宋体" w:eastAsia="宋体" w:cs="宋体"/>
                <w:color w:val="auto"/>
                <w:kern w:val="0"/>
                <w:sz w:val="18"/>
                <w:szCs w:val="18"/>
              </w:rPr>
              <w:t>城乡建设、工业和信息化、生态环境、自然资源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、农业农村、交通运输、应急管理等部门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税收优惠资格认定</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发展和改革委员</w:t>
            </w:r>
            <w:r>
              <w:rPr>
                <w:rFonts w:hint="eastAsia" w:ascii="宋体" w:hAnsi="宋体" w:eastAsia="宋体" w:cs="宋体"/>
                <w:color w:val="auto"/>
                <w:kern w:val="0"/>
                <w:sz w:val="18"/>
                <w:szCs w:val="18"/>
                <w:lang w:eastAsia="zh-CN"/>
              </w:rPr>
              <w:t>会</w:t>
            </w:r>
            <w:r>
              <w:rPr>
                <w:rFonts w:hint="eastAsia" w:ascii="宋体" w:hAnsi="宋体" w:eastAsia="宋体" w:cs="宋体"/>
                <w:color w:val="auto"/>
                <w:kern w:val="0"/>
                <w:sz w:val="18"/>
                <w:szCs w:val="18"/>
              </w:rPr>
              <w:t>、财政、</w:t>
            </w:r>
            <w:r>
              <w:rPr>
                <w:rFonts w:hint="eastAsia" w:ascii="宋体" w:hAnsi="宋体" w:eastAsia="宋体" w:cs="宋体"/>
                <w:color w:val="auto"/>
                <w:kern w:val="0"/>
                <w:sz w:val="18"/>
                <w:szCs w:val="18"/>
                <w:lang w:eastAsia="zh-CN"/>
              </w:rPr>
              <w:t>科学技术</w:t>
            </w:r>
            <w:r>
              <w:rPr>
                <w:rFonts w:hint="eastAsia" w:ascii="宋体" w:hAnsi="宋体" w:eastAsia="宋体" w:cs="宋体"/>
                <w:color w:val="auto"/>
                <w:kern w:val="0"/>
                <w:sz w:val="18"/>
                <w:szCs w:val="18"/>
              </w:rPr>
              <w:t>、住房</w:t>
            </w:r>
            <w:r>
              <w:rPr>
                <w:rFonts w:hint="eastAsia" w:ascii="宋体" w:hAnsi="宋体" w:eastAsia="宋体" w:cs="宋体"/>
                <w:color w:val="auto"/>
                <w:kern w:val="0"/>
                <w:sz w:val="18"/>
                <w:szCs w:val="18"/>
                <w:lang w:eastAsia="zh-CN"/>
              </w:rPr>
              <w:t>和</w:t>
            </w:r>
            <w:r>
              <w:rPr>
                <w:rFonts w:hint="eastAsia" w:ascii="宋体" w:hAnsi="宋体" w:eastAsia="宋体" w:cs="宋体"/>
                <w:color w:val="auto"/>
                <w:kern w:val="0"/>
                <w:sz w:val="18"/>
                <w:szCs w:val="18"/>
              </w:rPr>
              <w:t>城乡建设、工业和信息化、生态环境、自然资源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农业农村、交通运输、应急管理等部门，应当根据税务机关确认纳税人、缴费人享受税收优惠政策、税收征收管理等工作的需要，协助税务机关开展税源核查，认定纳税人、缴费人享受税收优惠的资格或者出具专业鉴定意见。</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十五条，税务机关应当建立健全税收优惠便捷快享机制，精准推送优惠政策，做好辅导解读，保障纳税人依法快速享受税收优惠。税务机关因确认纳税人享受税收优惠政策，需要发展改革、科学技术、工业和信息化、民政、自然资源、生态环境、应急管理等部门协助的，有关部门应当予以协助。 </w:t>
            </w:r>
          </w:p>
        </w:tc>
      </w:tr>
      <w:tr>
        <w:tblPrEx>
          <w:tblCellMar>
            <w:top w:w="0" w:type="dxa"/>
            <w:left w:w="108" w:type="dxa"/>
            <w:bottom w:w="0" w:type="dxa"/>
            <w:right w:w="108" w:type="dxa"/>
          </w:tblCellMar>
        </w:tblPrEx>
        <w:trPr>
          <w:trHeight w:val="2658"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金融机构</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金融账户信息查询</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金融机构应当依法协助税务机关查询从事生产、经营的纳税人、扣缴义务人的金融账户、存款等信息，依法协助税务机关实施税收保全措施和强制执行措施。</w:t>
            </w:r>
          </w:p>
        </w:tc>
        <w:tc>
          <w:tcPr>
            <w:tcW w:w="6036"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《中华人民共和国税收征收管理法》（中华人民共和国主席令第23号）</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第十七条、第三十八条、第五十四条、第七十三条</w:t>
            </w:r>
          </w:p>
        </w:tc>
      </w:tr>
      <w:tr>
        <w:tblPrEx>
          <w:tblCellMar>
            <w:top w:w="0" w:type="dxa"/>
            <w:left w:w="108" w:type="dxa"/>
            <w:bottom w:w="0" w:type="dxa"/>
            <w:right w:w="108" w:type="dxa"/>
          </w:tblCellMar>
        </w:tblPrEx>
        <w:trPr>
          <w:trHeight w:val="395"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193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协作部门</w:t>
            </w:r>
          </w:p>
        </w:tc>
        <w:tc>
          <w:tcPr>
            <w:tcW w:w="94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协作事项</w:t>
            </w:r>
          </w:p>
        </w:tc>
        <w:tc>
          <w:tcPr>
            <w:tcW w:w="4224"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协作机制</w:t>
            </w:r>
          </w:p>
        </w:tc>
        <w:tc>
          <w:tcPr>
            <w:tcW w:w="6036"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文件依据</w:t>
            </w:r>
          </w:p>
        </w:tc>
      </w:tr>
      <w:tr>
        <w:tblPrEx>
          <w:tblCellMar>
            <w:top w:w="0" w:type="dxa"/>
            <w:left w:w="108" w:type="dxa"/>
            <w:bottom w:w="0" w:type="dxa"/>
            <w:right w:w="108" w:type="dxa"/>
          </w:tblCellMar>
        </w:tblPrEx>
        <w:trPr>
          <w:trHeight w:val="90"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16</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财政、审计等部门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涉税违法线索协同</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财政、审计等有关部门在依法履行职责过程中发现纳税人存在税收违法行为的，应当及时告知税务机关。税务机关对于移送的涉税违法线索，认为需要进行补充、延伸审计的，移送机关应及时提供协助。税务机关自收到审计机关、财政机关的决定、意见书之日起30日内将执行情况书面回复审计机关、财政机关。</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第十七条，财政、审计等有关部门在依法履行职责过程中发现纳税人存在税收违法行为的，应当及时告知税务机关。税务机关应当依法进行调查处理。 </w:t>
            </w:r>
          </w:p>
        </w:tc>
      </w:tr>
      <w:tr>
        <w:tblPrEx>
          <w:tblCellMar>
            <w:top w:w="0" w:type="dxa"/>
            <w:left w:w="108" w:type="dxa"/>
            <w:bottom w:w="0" w:type="dxa"/>
            <w:right w:w="108" w:type="dxa"/>
          </w:tblCellMar>
        </w:tblPrEx>
        <w:trPr>
          <w:trHeight w:val="2735"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7</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公安机关、</w:t>
            </w:r>
            <w:r>
              <w:rPr>
                <w:rFonts w:hint="eastAsia" w:ascii="宋体" w:hAnsi="宋体" w:eastAsia="宋体" w:cs="宋体"/>
                <w:color w:val="auto"/>
                <w:kern w:val="0"/>
                <w:sz w:val="18"/>
                <w:szCs w:val="18"/>
                <w:lang w:eastAsia="zh-CN"/>
              </w:rPr>
              <w:t>人民</w:t>
            </w:r>
            <w:r>
              <w:rPr>
                <w:rFonts w:hint="eastAsia" w:ascii="宋体" w:hAnsi="宋体" w:eastAsia="宋体" w:cs="宋体"/>
                <w:color w:val="auto"/>
                <w:kern w:val="0"/>
                <w:sz w:val="18"/>
                <w:szCs w:val="18"/>
              </w:rPr>
              <w:t>检察院</w:t>
            </w:r>
            <w:r>
              <w:rPr>
                <w:rFonts w:hint="eastAsia" w:ascii="宋体" w:hAnsi="宋体" w:eastAsia="宋体" w:cs="宋体"/>
                <w:color w:val="auto"/>
                <w:kern w:val="0"/>
                <w:sz w:val="18"/>
                <w:szCs w:val="18"/>
                <w:lang w:eastAsia="zh-CN"/>
              </w:rPr>
              <w:t>等部门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涉税违法案件联合办理</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税务机关在查处涉税违法案件过程中，发现违法行为涉嫌犯罪，依法需要追究刑事责任的，应当及时将案件移送公安机关，并抄送同级人民检察院，接受人民检察院依法实施的监督。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对移送的或者公安机关发现的涉嫌犯罪行为，经公安机关审查，认为不需要追究刑事责任但依法应当追究行政责任的，公安机关应当及时将案件移送同级税务机关，税务机关应当依法作出处理。</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第十九条，税务机关在查处涉税违法案件过程中，发现违法行为涉嫌犯罪，依法需要追究刑事责任的，应当及时将案件移送公安机关，并抄送同级人民检察院。 对移送的或者公安机关发现的涉嫌犯罪行为，经公安机关审查，认为不需要追究刑事责任但依法应当追究行政责任的，公安机关应当及时将案件移送同级税务机关，税务机关应当依法作出处理。 </w:t>
            </w:r>
          </w:p>
        </w:tc>
      </w:tr>
      <w:tr>
        <w:tblPrEx>
          <w:tblCellMar>
            <w:top w:w="0" w:type="dxa"/>
            <w:left w:w="108" w:type="dxa"/>
            <w:bottom w:w="0" w:type="dxa"/>
            <w:right w:w="108" w:type="dxa"/>
          </w:tblCellMar>
        </w:tblPrEx>
        <w:trPr>
          <w:trHeight w:val="3530"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有关检举受理部门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涉税违法检举协同办理</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任何单位和个人都有权检举税收违法行为。收到检举的机关和负责查处的机关应当为检举人保密。税务机关应当按照规定对检举人给予奖励。</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第二十三条，任何单位和个人都有权检举税收违法行为。收到检举的机关和负责查处的机关应当为检举人保密。税务机关应当按照规定对检举人给予奖励。 </w:t>
            </w:r>
          </w:p>
        </w:tc>
      </w:tr>
      <w:tr>
        <w:tblPrEx>
          <w:tblCellMar>
            <w:top w:w="0" w:type="dxa"/>
            <w:left w:w="108" w:type="dxa"/>
            <w:bottom w:w="0" w:type="dxa"/>
            <w:right w:w="108" w:type="dxa"/>
          </w:tblCellMar>
        </w:tblPrEx>
        <w:trPr>
          <w:trHeight w:val="346"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193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协作部门</w:t>
            </w:r>
          </w:p>
        </w:tc>
        <w:tc>
          <w:tcPr>
            <w:tcW w:w="94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协作事项</w:t>
            </w:r>
          </w:p>
        </w:tc>
        <w:tc>
          <w:tcPr>
            <w:tcW w:w="4224"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协作机制</w:t>
            </w:r>
          </w:p>
        </w:tc>
        <w:tc>
          <w:tcPr>
            <w:tcW w:w="6036"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文件依据</w:t>
            </w:r>
          </w:p>
        </w:tc>
      </w:tr>
      <w:tr>
        <w:tblPrEx>
          <w:tblCellMar>
            <w:top w:w="0" w:type="dxa"/>
            <w:left w:w="108" w:type="dxa"/>
            <w:bottom w:w="0" w:type="dxa"/>
            <w:right w:w="108" w:type="dxa"/>
          </w:tblCellMar>
        </w:tblPrEx>
        <w:trPr>
          <w:trHeight w:val="2760"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19</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人力资源</w:t>
            </w:r>
            <w:r>
              <w:rPr>
                <w:rFonts w:hint="eastAsia" w:ascii="宋体" w:hAnsi="宋体" w:eastAsia="宋体" w:cs="宋体"/>
                <w:color w:val="auto"/>
                <w:kern w:val="0"/>
                <w:sz w:val="18"/>
                <w:szCs w:val="18"/>
                <w:lang w:eastAsia="zh-CN"/>
              </w:rPr>
              <w:t>和</w:t>
            </w:r>
            <w:r>
              <w:rPr>
                <w:rFonts w:hint="eastAsia" w:ascii="宋体" w:hAnsi="宋体" w:eastAsia="宋体" w:cs="宋体"/>
                <w:color w:val="auto"/>
                <w:kern w:val="0"/>
                <w:sz w:val="18"/>
                <w:szCs w:val="18"/>
              </w:rPr>
              <w:t>社会保障、医疗保障、工会、残疾人联合</w:t>
            </w:r>
            <w:r>
              <w:rPr>
                <w:rFonts w:hint="eastAsia" w:ascii="宋体" w:hAnsi="宋体" w:eastAsia="宋体" w:cs="宋体"/>
                <w:color w:val="auto"/>
                <w:kern w:val="0"/>
                <w:sz w:val="18"/>
                <w:szCs w:val="18"/>
                <w:lang w:eastAsia="zh-CN"/>
              </w:rPr>
              <w:t>会</w:t>
            </w:r>
            <w:r>
              <w:rPr>
                <w:rFonts w:hint="eastAsia" w:ascii="宋体" w:hAnsi="宋体" w:eastAsia="宋体" w:cs="宋体"/>
                <w:color w:val="auto"/>
                <w:kern w:val="0"/>
                <w:sz w:val="18"/>
                <w:szCs w:val="18"/>
              </w:rPr>
              <w:t>、自然资源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、水</w:t>
            </w:r>
            <w:r>
              <w:rPr>
                <w:rFonts w:hint="eastAsia" w:ascii="宋体" w:hAnsi="宋体" w:eastAsia="宋体" w:cs="宋体"/>
                <w:color w:val="auto"/>
                <w:kern w:val="0"/>
                <w:sz w:val="18"/>
                <w:szCs w:val="18"/>
                <w:lang w:eastAsia="zh-CN"/>
              </w:rPr>
              <w:t>务</w:t>
            </w:r>
            <w:r>
              <w:rPr>
                <w:rFonts w:hint="eastAsia" w:ascii="宋体" w:hAnsi="宋体" w:eastAsia="宋体" w:cs="宋体"/>
                <w:color w:val="auto"/>
                <w:kern w:val="0"/>
                <w:sz w:val="18"/>
                <w:szCs w:val="18"/>
              </w:rPr>
              <w:t>、城市管理综合行政执法、生态环境、林</w:t>
            </w:r>
            <w:r>
              <w:rPr>
                <w:rFonts w:hint="eastAsia" w:ascii="宋体" w:hAnsi="宋体" w:eastAsia="宋体" w:cs="宋体"/>
                <w:color w:val="auto"/>
                <w:kern w:val="0"/>
                <w:sz w:val="18"/>
                <w:szCs w:val="18"/>
                <w:lang w:eastAsia="zh-CN"/>
              </w:rPr>
              <w:t>业和草原</w:t>
            </w:r>
            <w:r>
              <w:rPr>
                <w:rFonts w:hint="eastAsia" w:ascii="宋体" w:hAnsi="宋体" w:eastAsia="宋体" w:cs="宋体"/>
                <w:color w:val="auto"/>
                <w:kern w:val="0"/>
                <w:sz w:val="18"/>
                <w:szCs w:val="18"/>
              </w:rPr>
              <w:t>等部门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社保费和非税收入征缴争议协同办理</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社会保险费和非税收入在征缴过程中产生的各类争议及投诉举报事宜，税务机关应会同相关费种行政主管部门妥善处理，实现争议纠纷进“一扇门”调解处理，降低缴费人维权成本。</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第二十二条，税务机关应当会同有关部门建立健全涉税争议化解机制，畅通诉求有效收集、快速响应和及时反馈渠道，有效化解涉税争议事项。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《河北省社会保险费征收管理暂行办法》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第七十三条  主管税务机关征收部门咨询服务岗位负责受理缴费事项咨询，对与税务机关社会保险费征缴工作有关的问题进行答复，并负责向缴费人发放有关表证单书和宣传资料，接收缴费人缓缴申请和重大事项报告。对内容涉及劳动保障等其他部门工作范围的咨询，应当告知对方向相关部门进行咨询。</w:t>
            </w:r>
          </w:p>
        </w:tc>
      </w:tr>
      <w:tr>
        <w:tblPrEx>
          <w:tblCellMar>
            <w:top w:w="0" w:type="dxa"/>
            <w:left w:w="108" w:type="dxa"/>
            <w:bottom w:w="0" w:type="dxa"/>
            <w:right w:w="108" w:type="dxa"/>
          </w:tblCellMar>
        </w:tblPrEx>
        <w:trPr>
          <w:trHeight w:val="2226"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银行</w:t>
            </w:r>
            <w:r>
              <w:rPr>
                <w:rFonts w:hint="eastAsia" w:ascii="宋体" w:hAnsi="宋体" w:eastAsia="宋体" w:cs="宋体"/>
                <w:color w:val="auto"/>
                <w:kern w:val="0"/>
                <w:sz w:val="18"/>
                <w:szCs w:val="18"/>
                <w:lang w:eastAsia="zh-CN"/>
              </w:rPr>
              <w:t>和</w:t>
            </w:r>
            <w:r>
              <w:rPr>
                <w:rFonts w:hint="eastAsia" w:ascii="宋体" w:hAnsi="宋体" w:eastAsia="宋体" w:cs="宋体"/>
                <w:color w:val="auto"/>
                <w:kern w:val="0"/>
                <w:sz w:val="18"/>
                <w:szCs w:val="18"/>
              </w:rPr>
              <w:t>其他金融机构</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对企业欠缴社保费提请银行配合从缴费人账户扣缴</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用人单位未按时足额缴纳社会保险费的，由税务机关责令其限期缴纳或者补足。用人单位逾期仍未缴纳或者补足社会保险费的，税务机关可以向银行和其他金融机构查询其存款账户，并由县级税务机关作出划拨社会保险费的决定，书面通知其开户银行或者其他金融机构划拨社会保险费。</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《河北省社会保险费征缴暂行办法》</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第十八条　对地方税务机关已责令限期缴纳，但逾期仍未按规定缴纳，或者拒不缴纳社会保险费的缴费单位，县级以上地方税务机关可以依法采取以下措施，直至申请人民法院依法强制征收：　(一)书面通知其开户银行或者其他金融机构从其存款中扣缴；(二)扣押、查封、拍卖、变卖其价值相当于应缴费额的商品、货物或者其他财产，以拍卖或者变卖所得抵缴费款。</w:t>
            </w:r>
          </w:p>
          <w:p>
            <w:pPr>
              <w:widowControl/>
              <w:spacing w:after="240"/>
              <w:jc w:val="left"/>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1955"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人民法院</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对企业欠缴社保费申请人民法院强制执行</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用人单位未足额缴纳社会保险费且未提供担保的，税务机关可以申请当地人民法院扣押、查封、拍卖其价值相当于应当缴纳社会保险费的财产，以拍卖所得抵缴社会保险费。</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《河北省社会保险费征缴暂行办法》</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第十八条　对地方税务机关已责令限期缴纳，但逾期仍未按规定缴纳，或者拒不缴纳社会保险费的缴费单位，县级以上地方税务机关可以依法采取以下措施，直至申请人民法院依法强制征收：　(一)书面通知其开户银行或者其他金融机构从其存款中扣缴；(二)扣押、查封、拍卖、变卖其价值相当于应缴费额的商品、货物或者其他财产，以拍卖或者变卖所得抵缴费款。</w:t>
            </w:r>
          </w:p>
        </w:tc>
      </w:tr>
      <w:tr>
        <w:tblPrEx>
          <w:tblCellMar>
            <w:top w:w="0" w:type="dxa"/>
            <w:left w:w="108" w:type="dxa"/>
            <w:bottom w:w="0" w:type="dxa"/>
            <w:right w:w="108" w:type="dxa"/>
          </w:tblCellMar>
        </w:tblPrEx>
        <w:trPr>
          <w:trHeight w:val="346"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193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协作部门</w:t>
            </w:r>
          </w:p>
        </w:tc>
        <w:tc>
          <w:tcPr>
            <w:tcW w:w="943"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协作事项</w:t>
            </w:r>
          </w:p>
        </w:tc>
        <w:tc>
          <w:tcPr>
            <w:tcW w:w="4224"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协作机制</w:t>
            </w:r>
          </w:p>
        </w:tc>
        <w:tc>
          <w:tcPr>
            <w:tcW w:w="6036"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文件依据</w:t>
            </w:r>
          </w:p>
        </w:tc>
      </w:tr>
      <w:tr>
        <w:tblPrEx>
          <w:tblCellMar>
            <w:top w:w="0" w:type="dxa"/>
            <w:left w:w="108" w:type="dxa"/>
            <w:bottom w:w="0" w:type="dxa"/>
            <w:right w:w="108" w:type="dxa"/>
          </w:tblCellMar>
        </w:tblPrEx>
        <w:trPr>
          <w:trHeight w:val="2324"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财政、民政、人力资源</w:t>
            </w:r>
            <w:r>
              <w:rPr>
                <w:rFonts w:hint="eastAsia" w:ascii="宋体" w:hAnsi="宋体" w:eastAsia="宋体" w:cs="宋体"/>
                <w:color w:val="auto"/>
                <w:kern w:val="0"/>
                <w:sz w:val="18"/>
                <w:szCs w:val="18"/>
                <w:lang w:eastAsia="zh-CN"/>
              </w:rPr>
              <w:t>和</w:t>
            </w:r>
            <w:r>
              <w:rPr>
                <w:rFonts w:hint="eastAsia" w:ascii="宋体" w:hAnsi="宋体" w:eastAsia="宋体" w:cs="宋体"/>
                <w:color w:val="auto"/>
                <w:kern w:val="0"/>
                <w:sz w:val="18"/>
                <w:szCs w:val="18"/>
              </w:rPr>
              <w:t>社会保障、医疗保障、工会、残疾人联合会、自然资源</w:t>
            </w:r>
            <w:r>
              <w:rPr>
                <w:rFonts w:hint="eastAsia" w:ascii="宋体" w:hAnsi="宋体" w:eastAsia="宋体" w:cs="宋体"/>
                <w:color w:val="auto"/>
                <w:kern w:val="0"/>
                <w:sz w:val="18"/>
                <w:szCs w:val="18"/>
                <w:lang w:eastAsia="zh-CN"/>
              </w:rPr>
              <w:t>和规划</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数据和政务服务</w:t>
            </w:r>
            <w:r>
              <w:rPr>
                <w:rFonts w:hint="eastAsia" w:ascii="宋体" w:hAnsi="宋体" w:eastAsia="宋体" w:cs="宋体"/>
                <w:color w:val="auto"/>
                <w:kern w:val="0"/>
                <w:sz w:val="18"/>
                <w:szCs w:val="18"/>
              </w:rPr>
              <w:t>、水</w:t>
            </w:r>
            <w:r>
              <w:rPr>
                <w:rFonts w:hint="eastAsia" w:ascii="宋体" w:hAnsi="宋体" w:eastAsia="宋体" w:cs="宋体"/>
                <w:color w:val="auto"/>
                <w:kern w:val="0"/>
                <w:sz w:val="18"/>
                <w:szCs w:val="18"/>
                <w:lang w:eastAsia="zh-CN"/>
              </w:rPr>
              <w:t>务</w:t>
            </w:r>
            <w:r>
              <w:rPr>
                <w:rFonts w:hint="eastAsia" w:ascii="宋体" w:hAnsi="宋体" w:eastAsia="宋体" w:cs="宋体"/>
                <w:color w:val="auto"/>
                <w:kern w:val="0"/>
                <w:sz w:val="18"/>
                <w:szCs w:val="18"/>
              </w:rPr>
              <w:t>、城市管理综合行政执法、住房和城乡建设、生态环境、林</w:t>
            </w:r>
            <w:r>
              <w:rPr>
                <w:rFonts w:hint="eastAsia" w:ascii="宋体" w:hAnsi="宋体" w:eastAsia="宋体" w:cs="宋体"/>
                <w:color w:val="auto"/>
                <w:kern w:val="0"/>
                <w:sz w:val="18"/>
                <w:szCs w:val="18"/>
                <w:lang w:eastAsia="zh-CN"/>
              </w:rPr>
              <w:t>业和草原</w:t>
            </w:r>
            <w:r>
              <w:rPr>
                <w:rFonts w:hint="eastAsia" w:ascii="宋体" w:hAnsi="宋体" w:eastAsia="宋体" w:cs="宋体"/>
                <w:color w:val="auto"/>
                <w:kern w:val="0"/>
                <w:sz w:val="18"/>
                <w:szCs w:val="18"/>
              </w:rPr>
              <w:t>等部门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联动开展普法宣传</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税务机关应当采取多种形式加强税收、社保费、非税收入法律法规宣传，加强部门联动，普及税费知识，解读税费政策，增强公民纳税缴费意识，在全社会营造依法诚信纳税缴费的良好氛围。</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第六条，税务机关应当采取多种形式加强税收法律法规宣传，普及纳税知识，解读税收政策，增强公民纳税意识，在全社会营造依法诚信纳税的良好氛围。 </w:t>
            </w:r>
          </w:p>
        </w:tc>
      </w:tr>
      <w:tr>
        <w:tblPrEx>
          <w:tblCellMar>
            <w:top w:w="0" w:type="dxa"/>
            <w:left w:w="108" w:type="dxa"/>
            <w:bottom w:w="0" w:type="dxa"/>
            <w:right w:w="108" w:type="dxa"/>
          </w:tblCellMar>
        </w:tblPrEx>
        <w:trPr>
          <w:trHeight w:val="560" w:hRule="atLeast"/>
        </w:trPr>
        <w:tc>
          <w:tcPr>
            <w:tcW w:w="673" w:type="dxa"/>
            <w:tcBorders>
              <w:top w:val="nil"/>
              <w:left w:val="single" w:color="auto" w:sz="4" w:space="0"/>
              <w:bottom w:val="single" w:color="auto" w:sz="4" w:space="0"/>
              <w:right w:val="single" w:color="auto" w:sz="4" w:space="0"/>
            </w:tcBorders>
            <w:shd w:val="clear" w:color="auto" w:fill="auto"/>
            <w:vAlign w:val="top"/>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w:t>
            </w:r>
          </w:p>
        </w:tc>
        <w:tc>
          <w:tcPr>
            <w:tcW w:w="193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县级以上人民政府及其有关部门</w:t>
            </w:r>
          </w:p>
        </w:tc>
        <w:tc>
          <w:tcPr>
            <w:tcW w:w="943"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联合改进办税方式</w:t>
            </w:r>
          </w:p>
        </w:tc>
        <w:tc>
          <w:tcPr>
            <w:tcW w:w="4224" w:type="dxa"/>
            <w:tcBorders>
              <w:top w:val="nil"/>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税务机关应当提请县级以上人民政府及其有关部门将办税缴费服务纳入政务服务体系，为市场主体提供开办、注销、不动产登记等集成化办理服务。不断改进办税缴费方式，优化办理流程，压减办税缴费申报次数和办理时间，为纳税人、缴费人提供优质高效的办税缴费服务。</w:t>
            </w:r>
          </w:p>
        </w:tc>
        <w:tc>
          <w:tcPr>
            <w:tcW w:w="6036"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《河北省税收征管保障办法》                                                        第七条，税务机关应当改进办税方式，优化办理流程，压减纳税申报次数和办理时间，为纳税人提供优质高效的办税服务。 </w:t>
            </w:r>
          </w:p>
        </w:tc>
      </w:tr>
    </w:tbl>
    <w:p>
      <w:pPr>
        <w:widowControl/>
        <w:jc w:val="center"/>
        <w:rPr>
          <w:rFonts w:hint="eastAsia" w:ascii="宋体" w:hAnsi="宋体" w:eastAsia="宋体" w:cs="宋体"/>
          <w:color w:val="000000"/>
          <w:kern w:val="0"/>
          <w:sz w:val="18"/>
          <w:szCs w:val="18"/>
        </w:rPr>
        <w:sectPr>
          <w:headerReference r:id="rId3" w:type="default"/>
          <w:footerReference r:id="rId4" w:type="default"/>
          <w:type w:val="continuous"/>
          <w:pgSz w:w="16838" w:h="11906" w:orient="landscape"/>
          <w:pgMar w:top="1440" w:right="1576" w:bottom="1440" w:left="1576" w:header="851" w:footer="992" w:gutter="0"/>
          <w:pgNumType w:fmt="decimal" w:start="7"/>
          <w:cols w:space="0" w:num="1"/>
          <w:rtlGutter w:val="0"/>
          <w:docGrid w:type="lines" w:linePitch="312" w:charSpace="0"/>
        </w:sectPr>
      </w:pPr>
    </w:p>
    <w:p/>
    <w:p/>
    <w:p/>
    <w:p/>
    <w:p/>
    <w:p/>
    <w:p/>
    <w:p/>
    <w:p/>
    <w:p/>
    <w:p/>
    <w:p/>
    <w:p>
      <w:pPr>
        <w:sectPr>
          <w:footerReference r:id="rId5" w:type="default"/>
          <w:type w:val="continuous"/>
          <w:pgSz w:w="16838" w:h="11906" w:orient="landscape"/>
          <w:pgMar w:top="1800" w:right="1440" w:bottom="1800" w:left="1440" w:header="851" w:footer="992" w:gutter="0"/>
          <w:pgNumType w:fmt="decimal"/>
          <w:cols w:space="0" w:num="1"/>
          <w:rtlGutter w:val="0"/>
          <w:docGrid w:type="lines" w:linePitch="312" w:charSpace="0"/>
        </w:sectPr>
      </w:pPr>
    </w:p>
    <w:p>
      <w:pPr>
        <w:rPr>
          <w:rFonts w:hint="eastAsia"/>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3"/>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3"/>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3"/>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3"/>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3"/>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3"/>
        <w:rPr>
          <w:rFonts w:hint="eastAsia" w:ascii="仿宋_GB2312" w:hAnsi="仿宋" w:eastAsia="仿宋_GB2312"/>
          <w:sz w:val="32"/>
          <w:szCs w:val="32"/>
        </w:rPr>
      </w:pPr>
    </w:p>
    <w:p>
      <w:pPr>
        <w:rPr>
          <w:rFonts w:hint="eastAsia" w:ascii="仿宋_GB2312" w:hAnsi="仿宋" w:eastAsia="仿宋_GB2312"/>
          <w:sz w:val="32"/>
          <w:szCs w:val="32"/>
        </w:rPr>
      </w:pPr>
      <w:bookmarkStart w:id="0" w:name="_GoBack"/>
      <w:bookmarkEnd w:id="0"/>
    </w:p>
    <w:p>
      <w:pPr>
        <w:pStyle w:val="2"/>
        <w:rPr>
          <w:rFonts w:hint="eastAsia" w:ascii="仿宋_GB2312" w:hAnsi="仿宋" w:eastAsia="仿宋_GB2312"/>
          <w:sz w:val="32"/>
          <w:szCs w:val="32"/>
        </w:rPr>
      </w:pPr>
    </w:p>
    <w:p>
      <w:pPr>
        <w:pStyle w:val="4"/>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20" w:lineRule="exact"/>
        <w:ind w:left="0" w:leftChars="0" w:firstLine="276" w:firstLineChars="100"/>
        <w:textAlignment w:val="auto"/>
      </w:pPr>
      <w:r>
        <w:rPr>
          <w:rFonts w:hint="eastAsia" w:ascii="仿宋_GB2312" w:hAnsi="仿宋_GB2312" w:cs="仿宋_GB2312"/>
          <w:sz w:val="28"/>
          <w:szCs w:val="28"/>
          <w:highlight w:val="none"/>
          <w:lang w:val="en-US" w:eastAsia="zh-CN"/>
        </w:rPr>
        <w:t>承德市人民政府办公室                   2024年4月25日印发</w:t>
      </w:r>
    </w:p>
    <w:sectPr>
      <w:footerReference r:id="rId6" w:type="default"/>
      <w:pgSz w:w="11906" w:h="16838"/>
      <w:pgMar w:top="2098" w:right="1531" w:bottom="1417" w:left="1531" w:header="851" w:footer="992" w:gutter="0"/>
      <w:pgNumType w:fmt="decimal" w:start="16"/>
      <w:cols w:space="0" w:num="1"/>
      <w:rtlGutter w:val="0"/>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8"/>
                              <w:szCs w:val="28"/>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Arabic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rPr>
                        <w:rFonts w:hint="eastAsia" w:ascii="宋体" w:hAnsi="宋体" w:eastAsia="宋体" w:cs="宋体"/>
                        <w:sz w:val="28"/>
                        <w:szCs w:val="28"/>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Arabic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jc w:val="both"/>
    </w:pPr>
  </w:p>
  <w:p>
    <w:pPr>
      <w:pStyle w:val="6"/>
      <w:pBdr>
        <w:top w:val="none" w:color="auto" w:sz="0" w:space="0"/>
        <w:left w:val="none" w:color="auto" w:sz="0" w:space="0"/>
        <w:bottom w:val="none" w:color="auto" w:sz="0" w:space="1"/>
        <w:right w:val="none" w:color="auto" w:sz="0" w:space="0"/>
        <w:between w:val="none" w:color="auto" w:sz="0" w:space="0"/>
      </w:pBdr>
      <w:jc w:val="both"/>
    </w:pPr>
  </w:p>
  <w:p>
    <w:pPr>
      <w:pStyle w:val="6"/>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CC631"/>
    <w:multiLevelType w:val="singleLevel"/>
    <w:tmpl w:val="595CC63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2F"/>
    <w:rsid w:val="00121CA7"/>
    <w:rsid w:val="001A20E1"/>
    <w:rsid w:val="00263E34"/>
    <w:rsid w:val="002A4853"/>
    <w:rsid w:val="003278DF"/>
    <w:rsid w:val="003475F9"/>
    <w:rsid w:val="00375322"/>
    <w:rsid w:val="003C3797"/>
    <w:rsid w:val="00487D6A"/>
    <w:rsid w:val="004A369E"/>
    <w:rsid w:val="004D69EC"/>
    <w:rsid w:val="00587422"/>
    <w:rsid w:val="006A06B1"/>
    <w:rsid w:val="00925D2F"/>
    <w:rsid w:val="009B151D"/>
    <w:rsid w:val="009B26C8"/>
    <w:rsid w:val="00AC782F"/>
    <w:rsid w:val="00B739E0"/>
    <w:rsid w:val="00CB1BD5"/>
    <w:rsid w:val="00D26FE6"/>
    <w:rsid w:val="00D531A6"/>
    <w:rsid w:val="00E47A8F"/>
    <w:rsid w:val="00EB7590"/>
    <w:rsid w:val="00F23D7F"/>
    <w:rsid w:val="00F44747"/>
    <w:rsid w:val="04827DFD"/>
    <w:rsid w:val="04D248DF"/>
    <w:rsid w:val="04F974F0"/>
    <w:rsid w:val="062C5116"/>
    <w:rsid w:val="0798793C"/>
    <w:rsid w:val="0E173D15"/>
    <w:rsid w:val="1258345A"/>
    <w:rsid w:val="14025D6C"/>
    <w:rsid w:val="15622FD1"/>
    <w:rsid w:val="16574420"/>
    <w:rsid w:val="16B70870"/>
    <w:rsid w:val="244C18F9"/>
    <w:rsid w:val="295765FB"/>
    <w:rsid w:val="2D513D67"/>
    <w:rsid w:val="3E0D1C46"/>
    <w:rsid w:val="401B6E02"/>
    <w:rsid w:val="40534FB3"/>
    <w:rsid w:val="43E37404"/>
    <w:rsid w:val="465E0535"/>
    <w:rsid w:val="47E00638"/>
    <w:rsid w:val="489746BD"/>
    <w:rsid w:val="48A70870"/>
    <w:rsid w:val="4B6441EA"/>
    <w:rsid w:val="4CDC2640"/>
    <w:rsid w:val="4F82468E"/>
    <w:rsid w:val="543F4503"/>
    <w:rsid w:val="54585617"/>
    <w:rsid w:val="56545245"/>
    <w:rsid w:val="5CDB5EFD"/>
    <w:rsid w:val="5EE61619"/>
    <w:rsid w:val="60D53523"/>
    <w:rsid w:val="62CE3448"/>
    <w:rsid w:val="65AB78AF"/>
    <w:rsid w:val="68210811"/>
    <w:rsid w:val="6C9904B2"/>
    <w:rsid w:val="6F823CEF"/>
    <w:rsid w:val="739738E7"/>
    <w:rsid w:val="7D0A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40" w:lineRule="exact"/>
      <w:jc w:val="center"/>
    </w:pPr>
    <w:rPr>
      <w:rFonts w:ascii="方正小标宋简体" w:eastAsia="方正小标宋简体"/>
      <w:sz w:val="44"/>
    </w:rPr>
  </w:style>
  <w:style w:type="paragraph" w:styleId="3">
    <w:name w:val="index 7"/>
    <w:basedOn w:val="1"/>
    <w:next w:val="1"/>
    <w:unhideWhenUsed/>
    <w:qFormat/>
    <w:uiPriority w:val="99"/>
    <w:pPr>
      <w:suppressAutoHyphens/>
      <w:ind w:left="2520"/>
    </w:pPr>
    <w:rPr>
      <w:rFonts w:eastAsia="黑体" w:cs="Calibri"/>
      <w:szCs w:val="21"/>
    </w:rPr>
  </w:style>
  <w:style w:type="paragraph" w:styleId="4">
    <w:name w:val="Normal Indent"/>
    <w:basedOn w:val="1"/>
    <w:qFormat/>
    <w:uiPriority w:val="0"/>
    <w:pPr>
      <w:ind w:firstLine="420" w:firstLineChars="200"/>
    </w:pPr>
    <w:rPr>
      <w:rFonts w:ascii="Calibri" w:hAnsi="Calibri" w:eastAsia="仿宋"/>
      <w:sz w:val="32"/>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E79E0-C26F-44D1-81E0-3FA807711280}">
  <ds:schemaRefs/>
</ds:datastoreItem>
</file>

<file path=docProps/app.xml><?xml version="1.0" encoding="utf-8"?>
<Properties xmlns="http://schemas.openxmlformats.org/officeDocument/2006/extended-properties" xmlns:vt="http://schemas.openxmlformats.org/officeDocument/2006/docPropsVTypes">
  <Template>Normal</Template>
  <Pages>11</Pages>
  <Words>1501</Words>
  <Characters>8559</Characters>
  <Lines>71</Lines>
  <Paragraphs>20</Paragraphs>
  <TotalTime>0</TotalTime>
  <ScaleCrop>false</ScaleCrop>
  <LinksUpToDate>false</LinksUpToDate>
  <CharactersWithSpaces>10040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2024-01-16T07:08:00Z</dcterms:created>
  <dc:creator>刘义琳</dc:creator>
  <cp:lastModifiedBy>PC</cp:lastModifiedBy>
  <cp:lastPrinted>2024-04-25T02:06:00Z</cp:lastPrinted>
  <dcterms:modified xsi:type="dcterms:W3CDTF">2024-04-25T02:48:52Z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910C52497F2B4541A48651CD2AA898CD</vt:lpwstr>
  </property>
</Properties>
</file>