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116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14:paraId="281D91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eastAsia="zh-CN"/>
        </w:rPr>
      </w:pPr>
    </w:p>
    <w:p w14:paraId="2EB841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承德</w:t>
      </w:r>
      <w:r>
        <w:rPr>
          <w:rFonts w:hint="eastAsia" w:ascii="方正小标宋_GBK" w:hAnsi="方正小标宋_GBK" w:eastAsia="方正小标宋_GBK" w:cs="方正小标宋_GBK"/>
          <w:b/>
          <w:bCs/>
          <w:sz w:val="44"/>
          <w:szCs w:val="44"/>
        </w:rPr>
        <w:t>市商务局</w:t>
      </w:r>
    </w:p>
    <w:p w14:paraId="3BC0AE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关于做好2025年</w:t>
      </w:r>
      <w:r>
        <w:rPr>
          <w:rFonts w:hint="eastAsia" w:ascii="方正小标宋_GBK" w:hAnsi="方正小标宋_GBK" w:eastAsia="方正小标宋_GBK" w:cs="方正小标宋_GBK"/>
          <w:b/>
          <w:bCs/>
          <w:sz w:val="44"/>
          <w:szCs w:val="44"/>
          <w:lang w:eastAsia="zh-CN"/>
        </w:rPr>
        <w:t>第二批</w:t>
      </w:r>
      <w:r>
        <w:rPr>
          <w:rFonts w:hint="eastAsia" w:ascii="方正小标宋_GBK" w:hAnsi="方正小标宋_GBK" w:eastAsia="方正小标宋_GBK" w:cs="方正小标宋_GBK"/>
          <w:b/>
          <w:bCs/>
          <w:sz w:val="44"/>
          <w:szCs w:val="44"/>
        </w:rPr>
        <w:t>家装</w:t>
      </w:r>
      <w:r>
        <w:rPr>
          <w:rFonts w:hint="eastAsia" w:ascii="方正小标宋_GBK" w:hAnsi="方正小标宋_GBK" w:eastAsia="方正小标宋_GBK" w:cs="方正小标宋_GBK"/>
          <w:b/>
          <w:bCs/>
          <w:sz w:val="44"/>
          <w:szCs w:val="44"/>
          <w:lang w:eastAsia="zh-CN"/>
        </w:rPr>
        <w:t>、电动自行车</w:t>
      </w:r>
      <w:r>
        <w:rPr>
          <w:rFonts w:hint="eastAsia" w:ascii="方正小标宋_GBK" w:hAnsi="方正小标宋_GBK" w:eastAsia="方正小标宋_GBK" w:cs="方正小标宋_GBK"/>
          <w:b/>
          <w:bCs/>
          <w:sz w:val="44"/>
          <w:szCs w:val="44"/>
        </w:rPr>
        <w:t>以旧换新承办单位遴选</w:t>
      </w:r>
      <w:r>
        <w:rPr>
          <w:rFonts w:hint="eastAsia" w:ascii="方正小标宋_GBK" w:hAnsi="方正小标宋_GBK" w:eastAsia="方正小标宋_GBK" w:cs="方正小标宋_GBK"/>
          <w:b/>
          <w:bCs/>
          <w:sz w:val="44"/>
          <w:szCs w:val="44"/>
          <w:lang w:eastAsia="zh-CN"/>
        </w:rPr>
        <w:t>备案</w:t>
      </w:r>
      <w:r>
        <w:rPr>
          <w:rFonts w:hint="eastAsia" w:ascii="方正小标宋_GBK" w:hAnsi="方正小标宋_GBK" w:eastAsia="方正小标宋_GBK" w:cs="方正小标宋_GBK"/>
          <w:b/>
          <w:bCs/>
          <w:sz w:val="44"/>
          <w:szCs w:val="44"/>
        </w:rPr>
        <w:t>工作的</w:t>
      </w:r>
      <w:r>
        <w:rPr>
          <w:rFonts w:hint="eastAsia" w:ascii="方正小标宋_GBK" w:hAnsi="方正小标宋_GBK" w:eastAsia="方正小标宋_GBK" w:cs="方正小标宋_GBK"/>
          <w:b/>
          <w:bCs/>
          <w:sz w:val="44"/>
          <w:szCs w:val="44"/>
          <w:lang w:eastAsia="zh-CN"/>
        </w:rPr>
        <w:t>通知</w:t>
      </w:r>
    </w:p>
    <w:p w14:paraId="354F4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sz w:val="32"/>
          <w:szCs w:val="32"/>
          <w:lang w:eastAsia="zh-CN"/>
        </w:rPr>
      </w:pPr>
    </w:p>
    <w:p w14:paraId="06571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各县（市、区）商务主管部门</w:t>
      </w:r>
      <w:r>
        <w:rPr>
          <w:rFonts w:hint="default" w:ascii="Times New Roman" w:hAnsi="Times New Roman" w:eastAsia="仿宋_GB2312" w:cs="Times New Roman"/>
          <w:sz w:val="32"/>
          <w:szCs w:val="32"/>
          <w:lang w:eastAsia="zh-CN"/>
        </w:rPr>
        <w:t>：</w:t>
      </w:r>
    </w:p>
    <w:p w14:paraId="1EDB9E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Microsoft YaHei UI" w:hAnsi="Microsoft YaHei UI" w:eastAsia="Microsoft YaHei UI" w:cs="Microsoft YaHei UI"/>
          <w:i w:val="0"/>
          <w:iCs w:val="0"/>
          <w:caps w:val="0"/>
          <w:spacing w:val="8"/>
        </w:rPr>
      </w:pPr>
      <w:r>
        <w:rPr>
          <w:rFonts w:ascii="仿宋_GB2312" w:hAnsi="Microsoft YaHei UI" w:eastAsia="仿宋_GB2312" w:cs="仿宋_GB2312"/>
          <w:i w:val="0"/>
          <w:iCs w:val="0"/>
          <w:caps w:val="0"/>
          <w:color w:val="000000"/>
          <w:spacing w:val="8"/>
          <w:kern w:val="0"/>
          <w:sz w:val="32"/>
          <w:szCs w:val="32"/>
          <w:shd w:val="clear" w:fill="FFFFFF"/>
          <w:lang w:val="en-US" w:eastAsia="zh-CN" w:bidi="ar"/>
        </w:rPr>
        <w:t>根据</w:t>
      </w:r>
      <w:r>
        <w:rPr>
          <w:rFonts w:hint="eastAsia" w:ascii="Times New Roman" w:hAnsi="Times New Roman" w:eastAsia="仿宋_GB2312" w:cs="Times New Roman"/>
          <w:kern w:val="2"/>
          <w:sz w:val="32"/>
          <w:szCs w:val="32"/>
          <w:lang w:val="en-US" w:eastAsia="zh-CN" w:bidi="ar-SA"/>
        </w:rPr>
        <w:t>省商务厅等8部门制定了《</w:t>
      </w:r>
      <w:r>
        <w:rPr>
          <w:rFonts w:hint="default" w:ascii="Times New Roman" w:hAnsi="Times New Roman" w:eastAsia="仿宋_GB2312" w:cs="Times New Roman"/>
          <w:kern w:val="2"/>
          <w:sz w:val="32"/>
          <w:szCs w:val="32"/>
          <w:lang w:val="en-US" w:eastAsia="zh-CN" w:bidi="ar-SA"/>
        </w:rPr>
        <w:t>河北省2025年家装厨卫</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焕新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实施细则</w:t>
      </w:r>
      <w:r>
        <w:rPr>
          <w:rFonts w:hint="eastAsia" w:ascii="Times New Roman" w:hAnsi="Times New Roman" w:eastAsia="仿宋_GB2312" w:cs="Times New Roman"/>
          <w:kern w:val="2"/>
          <w:sz w:val="32"/>
          <w:szCs w:val="32"/>
          <w:lang w:val="en-US" w:eastAsia="zh-CN" w:bidi="ar-SA"/>
        </w:rPr>
        <w:t>》和</w:t>
      </w:r>
      <w:r>
        <w:rPr>
          <w:rFonts w:hint="eastAsia" w:ascii="Times New Roman" w:hAnsi="Times New Roman" w:eastAsia="仿宋_GB2312" w:cs="Times New Roman"/>
          <w:sz w:val="32"/>
          <w:szCs w:val="32"/>
          <w:lang w:val="en-US" w:eastAsia="zh-CN"/>
        </w:rPr>
        <w:t>省商务厅等6部门制定了《</w:t>
      </w:r>
      <w:r>
        <w:rPr>
          <w:rFonts w:hint="default" w:ascii="Times New Roman" w:hAnsi="Times New Roman" w:eastAsia="仿宋_GB2312" w:cs="Times New Roman"/>
          <w:sz w:val="32"/>
          <w:szCs w:val="32"/>
          <w:lang w:val="en-US" w:eastAsia="zh-CN"/>
        </w:rPr>
        <w:t>河北省2025年电动自行车以旧换新实施细则</w:t>
      </w:r>
      <w:r>
        <w:rPr>
          <w:rFonts w:hint="eastAsia" w:ascii="Times New Roman" w:hAnsi="Times New Roman" w:eastAsia="仿宋_GB2312" w:cs="Times New Roman"/>
          <w:sz w:val="32"/>
          <w:szCs w:val="32"/>
          <w:lang w:val="en-US" w:eastAsia="zh-CN"/>
        </w:rPr>
        <w:t>》的</w:t>
      </w:r>
      <w:r>
        <w:rPr>
          <w:rFonts w:ascii="仿宋_GB2312" w:hAnsi="Microsoft YaHei UI" w:eastAsia="仿宋_GB2312" w:cs="仿宋_GB2312"/>
          <w:i w:val="0"/>
          <w:iCs w:val="0"/>
          <w:caps w:val="0"/>
          <w:color w:val="000000"/>
          <w:spacing w:val="8"/>
          <w:kern w:val="0"/>
          <w:sz w:val="32"/>
          <w:szCs w:val="32"/>
          <w:shd w:val="clear" w:fill="FFFFFF"/>
          <w:lang w:val="en-US" w:eastAsia="zh-CN" w:bidi="ar"/>
        </w:rPr>
        <w:t>要求，为</w:t>
      </w:r>
      <w:r>
        <w:rPr>
          <w:rFonts w:hint="eastAsia" w:ascii="仿宋_GB2312" w:hAnsi="Microsoft YaHei UI" w:eastAsia="仿宋_GB2312" w:cs="仿宋_GB2312"/>
          <w:i w:val="0"/>
          <w:iCs w:val="0"/>
          <w:caps w:val="0"/>
          <w:color w:val="000000"/>
          <w:spacing w:val="8"/>
          <w:kern w:val="0"/>
          <w:sz w:val="32"/>
          <w:szCs w:val="32"/>
          <w:shd w:val="clear" w:fill="FFFFFF"/>
          <w:lang w:val="en-US" w:eastAsia="zh-CN" w:bidi="ar"/>
        </w:rPr>
        <w:t>进一步</w:t>
      </w:r>
      <w:r>
        <w:rPr>
          <w:rFonts w:ascii="仿宋_GB2312" w:hAnsi="Microsoft YaHei UI" w:eastAsia="仿宋_GB2312" w:cs="仿宋_GB2312"/>
          <w:i w:val="0"/>
          <w:iCs w:val="0"/>
          <w:caps w:val="0"/>
          <w:color w:val="000000"/>
          <w:spacing w:val="8"/>
          <w:kern w:val="0"/>
          <w:sz w:val="32"/>
          <w:szCs w:val="32"/>
          <w:shd w:val="clear" w:fill="FFFFFF"/>
          <w:lang w:val="en-US" w:eastAsia="zh-CN" w:bidi="ar"/>
        </w:rPr>
        <w:t>做好</w:t>
      </w:r>
      <w:r>
        <w:rPr>
          <w:rFonts w:hint="default" w:ascii="Times New Roman" w:hAnsi="Times New Roman" w:eastAsia="Microsoft YaHei UI" w:cs="Times New Roman"/>
          <w:i w:val="0"/>
          <w:iCs w:val="0"/>
          <w:caps w:val="0"/>
          <w:color w:val="000000"/>
          <w:spacing w:val="8"/>
          <w:kern w:val="0"/>
          <w:sz w:val="32"/>
          <w:szCs w:val="32"/>
          <w:shd w:val="clear" w:fill="FFFFFF"/>
          <w:lang w:val="en-US" w:eastAsia="zh-CN" w:bidi="ar"/>
        </w:rPr>
        <w:t>2025</w:t>
      </w:r>
      <w:r>
        <w:rPr>
          <w:rFonts w:hint="eastAsia" w:ascii="仿宋_GB2312" w:hAnsi="Microsoft YaHei UI" w:eastAsia="仿宋_GB2312" w:cs="仿宋_GB2312"/>
          <w:i w:val="0"/>
          <w:iCs w:val="0"/>
          <w:caps w:val="0"/>
          <w:color w:val="000000"/>
          <w:spacing w:val="8"/>
          <w:kern w:val="0"/>
          <w:sz w:val="32"/>
          <w:szCs w:val="32"/>
          <w:shd w:val="clear" w:fill="FFFFFF"/>
          <w:lang w:val="en-US" w:eastAsia="zh-CN" w:bidi="ar"/>
        </w:rPr>
        <w:t>年家装、电动自行车以旧换新工作，现就面向全市遴选备案</w:t>
      </w:r>
      <w:r>
        <w:rPr>
          <w:rFonts w:hint="default" w:ascii="Times New Roman" w:hAnsi="Times New Roman" w:eastAsia="Microsoft YaHei UI" w:cs="Times New Roman"/>
          <w:i w:val="0"/>
          <w:iCs w:val="0"/>
          <w:caps w:val="0"/>
          <w:color w:val="000000"/>
          <w:spacing w:val="8"/>
          <w:kern w:val="0"/>
          <w:sz w:val="32"/>
          <w:szCs w:val="32"/>
          <w:shd w:val="clear" w:fill="FFFFFF"/>
          <w:lang w:val="en-US" w:eastAsia="zh-CN" w:bidi="ar"/>
        </w:rPr>
        <w:t>2025</w:t>
      </w:r>
      <w:r>
        <w:rPr>
          <w:rFonts w:hint="eastAsia" w:ascii="仿宋_GB2312" w:hAnsi="Microsoft YaHei UI" w:eastAsia="仿宋_GB2312" w:cs="仿宋_GB2312"/>
          <w:i w:val="0"/>
          <w:iCs w:val="0"/>
          <w:caps w:val="0"/>
          <w:color w:val="000000"/>
          <w:spacing w:val="8"/>
          <w:kern w:val="0"/>
          <w:sz w:val="32"/>
          <w:szCs w:val="32"/>
          <w:shd w:val="clear" w:fill="FFFFFF"/>
          <w:lang w:val="en-US" w:eastAsia="zh-CN" w:bidi="ar"/>
        </w:rPr>
        <w:t>年第二批家装、电动自行车以旧换新工作承办单位，有关事项通知如下</w:t>
      </w:r>
      <w:r>
        <w:rPr>
          <w:rFonts w:hint="default" w:ascii="Times New Roman" w:hAnsi="Times New Roman" w:eastAsia="Microsoft YaHei UI" w:cs="Times New Roman"/>
          <w:i w:val="0"/>
          <w:iCs w:val="0"/>
          <w:caps w:val="0"/>
          <w:color w:val="000000"/>
          <w:spacing w:val="8"/>
          <w:kern w:val="0"/>
          <w:sz w:val="32"/>
          <w:szCs w:val="32"/>
          <w:shd w:val="clear" w:fill="FFFFFF"/>
          <w:lang w:val="en-US" w:eastAsia="zh-CN" w:bidi="ar"/>
        </w:rPr>
        <w:t>:</w:t>
      </w:r>
    </w:p>
    <w:p w14:paraId="3E58B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一、</w:t>
      </w:r>
      <w:r>
        <w:rPr>
          <w:rFonts w:hint="eastAsia" w:ascii="国标黑体" w:hAnsi="国标黑体" w:eastAsia="国标黑体" w:cs="国标黑体"/>
          <w:sz w:val="32"/>
          <w:szCs w:val="32"/>
          <w:lang w:val="en-US" w:eastAsia="zh-CN"/>
        </w:rPr>
        <w:t>遴选原则</w:t>
      </w:r>
    </w:p>
    <w:p w14:paraId="27144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按照自愿、公开、公平、公正的原则，综合考虑承办单位综合管理能力、服务能力等因素，做好2025年家装、电动自行车以旧换新活动承办单位的遴选工作。各县（市、区）可根据</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承办主体实际情况，</w:t>
      </w:r>
      <w:r>
        <w:rPr>
          <w:rFonts w:hint="eastAsia" w:ascii="仿宋_GB2312" w:hAnsi="仿宋_GB2312" w:eastAsia="仿宋_GB2312" w:cs="仿宋_GB2312"/>
          <w:sz w:val="32"/>
          <w:szCs w:val="32"/>
          <w:lang w:val="en-US" w:eastAsia="zh-CN"/>
        </w:rPr>
        <w:t>结合《承德市2024年家电、家装、电动自行车以旧换新活动承办主体退出机制》的相关要求，</w:t>
      </w:r>
      <w:r>
        <w:rPr>
          <w:rFonts w:hint="eastAsia" w:ascii="仿宋_GB2312" w:hAnsi="仿宋_GB2312" w:eastAsia="仿宋_GB2312" w:cs="仿宋_GB2312"/>
          <w:sz w:val="32"/>
          <w:szCs w:val="32"/>
          <w:lang w:eastAsia="zh-CN"/>
        </w:rPr>
        <w:t>对现有承办单位进行</w:t>
      </w:r>
      <w:r>
        <w:rPr>
          <w:rFonts w:hint="eastAsia" w:ascii="仿宋_GB2312" w:hAnsi="仿宋_GB2312" w:eastAsia="仿宋_GB2312" w:cs="仿宋_GB2312"/>
          <w:sz w:val="32"/>
          <w:szCs w:val="32"/>
          <w:lang w:val="en-US" w:eastAsia="zh-CN"/>
        </w:rPr>
        <w:t>合理优化，</w:t>
      </w:r>
      <w:r>
        <w:rPr>
          <w:rFonts w:hint="eastAsia" w:ascii="仿宋_GB2312" w:hAnsi="仿宋_GB2312" w:eastAsia="仿宋_GB2312" w:cs="仿宋_GB2312"/>
          <w:sz w:val="32"/>
          <w:szCs w:val="32"/>
          <w:lang w:val="en" w:eastAsia="zh-CN"/>
        </w:rPr>
        <w:t>遴选备案</w:t>
      </w:r>
      <w:r>
        <w:rPr>
          <w:rFonts w:hint="eastAsia" w:ascii="仿宋_GB2312" w:hAnsi="仿宋_GB2312" w:eastAsia="仿宋_GB2312" w:cs="仿宋_GB2312"/>
          <w:sz w:val="32"/>
          <w:szCs w:val="32"/>
          <w:lang w:val="en-US" w:eastAsia="zh-CN"/>
        </w:rPr>
        <w:t>2025年第二批</w:t>
      </w:r>
      <w:r>
        <w:rPr>
          <w:rFonts w:hint="eastAsia" w:ascii="仿宋_GB2312" w:hAnsi="仿宋_GB2312" w:eastAsia="仿宋_GB2312" w:cs="仿宋_GB2312"/>
          <w:sz w:val="32"/>
          <w:szCs w:val="32"/>
          <w:lang w:eastAsia="zh-CN"/>
        </w:rPr>
        <w:t>家装、电动自行车</w:t>
      </w:r>
      <w:r>
        <w:rPr>
          <w:rFonts w:hint="eastAsia" w:ascii="仿宋_GB2312" w:hAnsi="仿宋_GB2312" w:eastAsia="仿宋_GB2312" w:cs="仿宋_GB2312"/>
          <w:sz w:val="32"/>
          <w:szCs w:val="32"/>
          <w:lang w:val="en-US" w:eastAsia="zh-CN"/>
        </w:rPr>
        <w:t>以旧换新</w:t>
      </w:r>
      <w:r>
        <w:rPr>
          <w:rFonts w:hint="eastAsia" w:ascii="仿宋_GB2312" w:hAnsi="仿宋_GB2312" w:eastAsia="仿宋_GB2312" w:cs="仿宋_GB2312"/>
          <w:sz w:val="32"/>
          <w:szCs w:val="32"/>
          <w:lang w:val="en" w:eastAsia="zh-CN"/>
        </w:rPr>
        <w:t>工作</w:t>
      </w:r>
      <w:r>
        <w:rPr>
          <w:rFonts w:hint="eastAsia" w:ascii="仿宋_GB2312" w:hAnsi="仿宋_GB2312" w:eastAsia="仿宋_GB2312" w:cs="仿宋_GB2312"/>
          <w:sz w:val="32"/>
          <w:szCs w:val="32"/>
          <w:lang w:val="en-US" w:eastAsia="zh-CN"/>
        </w:rPr>
        <w:t>承办单位。</w:t>
      </w:r>
      <w:r>
        <w:rPr>
          <w:rFonts w:hint="default" w:ascii="仿宋_GB2312" w:hAnsi="仿宋_GB2312" w:eastAsia="仿宋_GB2312" w:cs="仿宋_GB2312"/>
          <w:sz w:val="32"/>
          <w:szCs w:val="32"/>
          <w:lang w:val="en" w:eastAsia="zh-CN"/>
        </w:rPr>
        <w:t>如有</w:t>
      </w:r>
      <w:r>
        <w:rPr>
          <w:rFonts w:hint="eastAsia" w:ascii="仿宋_GB2312" w:hAnsi="仿宋_GB2312" w:eastAsia="仿宋_GB2312" w:cs="仿宋_GB2312"/>
          <w:sz w:val="32"/>
          <w:szCs w:val="32"/>
          <w:lang w:val="en" w:eastAsia="zh-CN"/>
        </w:rPr>
        <w:t>新增</w:t>
      </w:r>
      <w:r>
        <w:rPr>
          <w:rFonts w:hint="eastAsia" w:ascii="仿宋_GB2312" w:hAnsi="仿宋_GB2312" w:eastAsia="仿宋_GB2312" w:cs="仿宋_GB2312"/>
          <w:sz w:val="32"/>
          <w:szCs w:val="32"/>
          <w:lang w:eastAsia="zh-CN"/>
        </w:rPr>
        <w:t>家装、电动自行车</w:t>
      </w:r>
      <w:r>
        <w:rPr>
          <w:rFonts w:hint="default" w:ascii="仿宋_GB2312" w:hAnsi="仿宋_GB2312" w:eastAsia="仿宋_GB2312" w:cs="仿宋_GB2312"/>
          <w:sz w:val="32"/>
          <w:szCs w:val="32"/>
          <w:lang w:val="en" w:eastAsia="zh-CN"/>
        </w:rPr>
        <w:t>经营单位</w:t>
      </w:r>
      <w:r>
        <w:rPr>
          <w:rFonts w:hint="eastAsia" w:ascii="仿宋_GB2312" w:hAnsi="仿宋_GB2312" w:eastAsia="仿宋_GB2312" w:cs="仿宋_GB2312"/>
          <w:sz w:val="32"/>
          <w:szCs w:val="32"/>
          <w:lang w:val="en-US" w:eastAsia="zh-CN"/>
        </w:rPr>
        <w:t>自愿备案申报</w:t>
      </w:r>
      <w:r>
        <w:rPr>
          <w:rFonts w:hint="default" w:ascii="仿宋_GB2312" w:hAnsi="仿宋_GB2312" w:eastAsia="仿宋_GB2312" w:cs="仿宋_GB2312"/>
          <w:sz w:val="32"/>
          <w:szCs w:val="32"/>
          <w:lang w:val="en" w:eastAsia="zh-CN"/>
        </w:rPr>
        <w:t>，且</w:t>
      </w:r>
      <w:r>
        <w:rPr>
          <w:rFonts w:hint="eastAsia" w:ascii="仿宋_GB2312" w:hAnsi="仿宋_GB2312" w:eastAsia="仿宋_GB2312" w:cs="仿宋_GB2312"/>
          <w:sz w:val="32"/>
          <w:szCs w:val="32"/>
          <w:lang w:val="en-US" w:eastAsia="zh-CN"/>
        </w:rPr>
        <w:t>符合</w:t>
      </w:r>
      <w:r>
        <w:rPr>
          <w:rFonts w:hint="default" w:ascii="仿宋_GB2312" w:hAnsi="仿宋_GB2312" w:eastAsia="仿宋_GB2312" w:cs="仿宋_GB2312"/>
          <w:sz w:val="32"/>
          <w:szCs w:val="32"/>
          <w:lang w:val="en" w:eastAsia="zh-CN"/>
        </w:rPr>
        <w:t>2025年</w:t>
      </w:r>
      <w:r>
        <w:rPr>
          <w:rFonts w:hint="eastAsia" w:ascii="仿宋_GB2312" w:hAnsi="仿宋_GB2312" w:eastAsia="仿宋_GB2312" w:cs="仿宋_GB2312"/>
          <w:sz w:val="32"/>
          <w:szCs w:val="32"/>
          <w:lang w:eastAsia="zh-CN"/>
        </w:rPr>
        <w:t>家装、电动自行车</w:t>
      </w:r>
      <w:r>
        <w:rPr>
          <w:rFonts w:hint="eastAsia" w:ascii="仿宋_GB2312" w:hAnsi="仿宋_GB2312" w:eastAsia="仿宋_GB2312" w:cs="仿宋_GB2312"/>
          <w:sz w:val="32"/>
          <w:szCs w:val="32"/>
          <w:lang w:val="en-US" w:eastAsia="zh-CN"/>
        </w:rPr>
        <w:t>以旧换新活动承办单位遴选备案要求</w:t>
      </w:r>
      <w:r>
        <w:rPr>
          <w:rFonts w:hint="default" w:ascii="仿宋_GB2312" w:hAnsi="仿宋_GB2312" w:eastAsia="仿宋_GB2312" w:cs="仿宋_GB2312"/>
          <w:sz w:val="32"/>
          <w:szCs w:val="32"/>
          <w:lang w:val="en" w:eastAsia="zh-CN"/>
        </w:rPr>
        <w:t>的</w:t>
      </w:r>
      <w:r>
        <w:rPr>
          <w:rFonts w:hint="eastAsia" w:ascii="仿宋_GB2312" w:hAnsi="仿宋_GB2312" w:eastAsia="仿宋_GB2312" w:cs="仿宋_GB2312"/>
          <w:sz w:val="32"/>
          <w:szCs w:val="32"/>
          <w:lang w:val="en-US" w:eastAsia="zh-CN"/>
        </w:rPr>
        <w:t>，请按照本通知的具体</w:t>
      </w:r>
      <w:r>
        <w:rPr>
          <w:rFonts w:hint="default" w:ascii="仿宋_GB2312" w:hAnsi="仿宋_GB2312" w:eastAsia="仿宋_GB2312" w:cs="仿宋_GB2312"/>
          <w:sz w:val="32"/>
          <w:szCs w:val="32"/>
          <w:lang w:val="en" w:eastAsia="zh-CN"/>
        </w:rPr>
        <w:t>要求</w:t>
      </w:r>
      <w:r>
        <w:rPr>
          <w:rFonts w:hint="eastAsia" w:ascii="仿宋_GB2312" w:hAnsi="仿宋_GB2312" w:eastAsia="仿宋_GB2312" w:cs="仿宋_GB2312"/>
          <w:sz w:val="32"/>
          <w:szCs w:val="32"/>
          <w:lang w:val="en-US" w:eastAsia="zh-CN"/>
        </w:rPr>
        <w:t>组织报名。</w:t>
      </w:r>
    </w:p>
    <w:p w14:paraId="69CB0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二、遴选时间</w:t>
      </w:r>
    </w:p>
    <w:p w14:paraId="224B2E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2025年2月17日—2月21日</w:t>
      </w:r>
    </w:p>
    <w:p w14:paraId="04651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三、遴选条件</w:t>
      </w:r>
    </w:p>
    <w:p w14:paraId="29B32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依法注册登记且独立结算的经营主体；</w:t>
      </w:r>
    </w:p>
    <w:p w14:paraId="4373F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家装类承办主体，具备家装上门回收、以旧换新、维修保养等综合服务能力，能够进行家装拆除、安装作业；</w:t>
      </w:r>
    </w:p>
    <w:p w14:paraId="3AFFC7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动自行车类承办主体，具备开展以旧换新活动以下条件：①卖场区域安装摄像头；②配备电子秤；③具备符合防火、防爆等安全生产要求的锂离子蓄电池、铅酸蓄电池临时存放点，并配备消防器材；④与具备电池等危（固）废物回收资质企业签订回收协议。</w:t>
      </w:r>
    </w:p>
    <w:p w14:paraId="5232D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具备后台订单管理系统和开具电子发票的能力。建立完整清晰的活动台账，台账内容包括但不限于消费者、购买产品及发票信息（含消费者姓名、身份证号、联系电话、送货地址、购买产品名称及编码、销售金额及补贴金额等）；</w:t>
      </w:r>
    </w:p>
    <w:p w14:paraId="602569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与上游企业有稳定的合作关系，有长期经销或代理协议，有严格的商品进货质量保障体系，品牌经销商需获得品牌企业授权；</w:t>
      </w:r>
    </w:p>
    <w:p w14:paraId="4AC984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愿意先行垫付补贴资金，能承受政府补贴兑现时间；</w:t>
      </w:r>
    </w:p>
    <w:p w14:paraId="7A357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具备活动宣传和处理消费者咨询、投诉的能力；</w:t>
      </w:r>
    </w:p>
    <w:p w14:paraId="69E8ED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具备防范骗补、套补等行为的能力；</w:t>
      </w:r>
    </w:p>
    <w:p w14:paraId="759250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 近三年内无违法违规和失信记录，未发生安全事故。</w:t>
      </w:r>
    </w:p>
    <w:p w14:paraId="047E7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 承办2024年家装以旧换新活动中销售额为0，存在套取补贴资金的承办企业原则上不再纳入2025年承办企业名单。</w:t>
      </w:r>
    </w:p>
    <w:p w14:paraId="64D0E9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四、申报材料</w:t>
      </w:r>
    </w:p>
    <w:p w14:paraId="574417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承德市消费品以旧换新活动承办企业申请表；</w:t>
      </w:r>
    </w:p>
    <w:p w14:paraId="398BB8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参与承德市消费品以旧换新活动承诺书；</w:t>
      </w:r>
    </w:p>
    <w:p w14:paraId="6930D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营业执照副本复印件，法人身份证复印件；</w:t>
      </w:r>
    </w:p>
    <w:p w14:paraId="11B63C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对公账户（备注银行行号）信息；</w:t>
      </w:r>
    </w:p>
    <w:p w14:paraId="1EC3C0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商户信用报告；</w:t>
      </w:r>
    </w:p>
    <w:p w14:paraId="0AB888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营业场所彩色照片2张（内部、外部各1张）；</w:t>
      </w:r>
    </w:p>
    <w:p w14:paraId="74DD8A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品牌企业授权函（或代理协议）。</w:t>
      </w:r>
    </w:p>
    <w:p w14:paraId="5A8E56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2024年完税证明；</w:t>
      </w:r>
    </w:p>
    <w:p w14:paraId="5475CC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 电动自行车类承办主体需额外提供：①与电动自行车生产企业有稳定的产销合作关系的证明，品牌经销商需提供品牌企业授权承诺函公安部门授权的新车上牌许可证明②承办主体下设全部销售网点卖场、电池存放、消防设施等区域照片③与具备电池等危（固）废物回收资质企业签订的回收协议。</w:t>
      </w:r>
    </w:p>
    <w:p w14:paraId="4FE68D69">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以上申报材料需要加盖企业公章，电子版（一个申报主体的全部材料扫描至同一PDF文件内）1份，纸质版3份。</w:t>
      </w:r>
    </w:p>
    <w:p w14:paraId="34342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五、其他要求</w:t>
      </w:r>
    </w:p>
    <w:p w14:paraId="2039A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各县（市、区）要本着“谁推荐、谁负责”的原则，严格把关并出具推荐报告，特别是计划新纳入的承办单位，指导企业按照要求组织申报材料。</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mailto:请各县级商务主管部门积极组织当地家电家具销售企业参与活动，经初评后推荐至少x家符合条件的家电家具销售企业到市级商务主管部门，于xx月xx日（周x）前将推荐的企业（推荐标准见附件）和企业的承办方案一并发送至市商务局流通业发展和市场秩序科邮箱lfzhgb@126.com。"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于2月21日（星期五）15点前将推荐函和承办</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主体</w:t>
      </w:r>
      <w:r>
        <w:rPr>
          <w:rFonts w:hint="eastAsia" w:ascii="仿宋_GB2312" w:hAnsi="仿宋_GB2312" w:eastAsia="仿宋_GB2312" w:cs="仿宋_GB2312"/>
          <w:sz w:val="32"/>
          <w:szCs w:val="32"/>
          <w:lang w:val="en-US" w:eastAsia="zh-CN"/>
        </w:rPr>
        <w:t>申报材料电子版（一个企业扫描至一个PDF文件内）报至市商务局市场秩序科。</w:t>
      </w:r>
    </w:p>
    <w:p w14:paraId="4B2F3128">
      <w:pPr>
        <w:pStyle w:val="11"/>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联系人：苏东岳、吴海龙、赫静</w:t>
      </w:r>
    </w:p>
    <w:p w14:paraId="78CCC47C">
      <w:pPr>
        <w:pStyle w:val="11"/>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联系电话：2159271</w:t>
      </w:r>
    </w:p>
    <w:p w14:paraId="643FB814">
      <w:pPr>
        <w:pStyle w:val="11"/>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sz w:val="32"/>
          <w:szCs w:val="32"/>
          <w:lang w:val="en-US" w:eastAsia="zh-CN"/>
        </w:rPr>
        <w:t>电子</w:t>
      </w:r>
      <w:r>
        <w:rPr>
          <w:rFonts w:hint="eastAsia" w:ascii="仿宋_GB2312" w:hAnsi="仿宋_GB2312" w:eastAsia="仿宋_GB2312" w:cs="仿宋_GB2312"/>
          <w:sz w:val="32"/>
          <w:szCs w:val="32"/>
          <w:lang w:val="en-US" w:eastAsia="zh-CN"/>
        </w:rPr>
        <w:t>邮箱</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swjsczxk@chengde.gov.cn</w:t>
      </w:r>
    </w:p>
    <w:p w14:paraId="4DD809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14:paraId="1E163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附件1：2025年承德市以旧换新承办企业申请表</w:t>
      </w:r>
    </w:p>
    <w:p w14:paraId="1E44D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附件2：2025年承德市以旧换新承办主体承诺书</w:t>
      </w:r>
    </w:p>
    <w:p w14:paraId="3A323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附件3：参加电动自行车以旧换新工作承办单位承诺书</w:t>
      </w:r>
    </w:p>
    <w:p w14:paraId="5AA19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附件4：参加电动自行车以旧换新工作回收企业承诺书</w:t>
      </w:r>
    </w:p>
    <w:p w14:paraId="334CC0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附件5：2025年承德市以旧换新活动报名单位登记表</w:t>
      </w:r>
    </w:p>
    <w:p w14:paraId="62FB03C8">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p>
    <w:p w14:paraId="33622D78">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14:paraId="05A7BE4D">
      <w:pPr>
        <w:pStyle w:val="11"/>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承德市商务局</w:t>
      </w:r>
    </w:p>
    <w:p w14:paraId="79849F34">
      <w:pPr>
        <w:pStyle w:val="11"/>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5</w:t>
      </w:r>
      <w:r>
        <w:rPr>
          <w:rFonts w:hint="eastAsia" w:ascii="仿宋_GB2312" w:hAnsi="仿宋_GB2312" w:eastAsia="仿宋_GB2312" w:cs="仿宋_GB2312"/>
          <w:lang w:val="en-US" w:eastAsia="zh-CN"/>
        </w:rPr>
        <w:t>年</w:t>
      </w:r>
      <w:r>
        <w:rPr>
          <w:rFonts w:hint="eastAsia" w:ascii="仿宋_GB2312" w:hAnsi="仿宋_GB2312" w:cs="仿宋_GB2312"/>
          <w:lang w:val="en-US" w:eastAsia="zh-CN"/>
        </w:rPr>
        <w:t>2</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17</w:t>
      </w:r>
      <w:r>
        <w:rPr>
          <w:rFonts w:hint="eastAsia" w:ascii="仿宋_GB2312" w:hAnsi="仿宋_GB2312" w:eastAsia="仿宋_GB2312" w:cs="仿宋_GB2312"/>
          <w:lang w:val="en-US" w:eastAsia="zh-CN"/>
        </w:rPr>
        <w:t>日</w:t>
      </w:r>
    </w:p>
    <w:p w14:paraId="445FEFB0">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p>
    <w:p w14:paraId="73829340">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p>
    <w:p w14:paraId="5B262157">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p>
    <w:p w14:paraId="394C15F6">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p>
    <w:p w14:paraId="58CF78AF">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bookmarkStart w:id="0" w:name="_GoBack"/>
      <w:bookmarkEnd w:id="0"/>
    </w:p>
    <w:p w14:paraId="3B74309F">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r>
        <w:rPr>
          <w:rFonts w:hint="eastAsia" w:ascii="方正小标宋简体" w:hAnsi="方正小标宋简体" w:eastAsia="方正小标宋简体" w:cs="方正小标宋简体"/>
          <w:color w:val="000000"/>
          <w:kern w:val="0"/>
          <w:sz w:val="32"/>
          <w:szCs w:val="32"/>
          <w:lang w:val="en-US" w:eastAsia="zh-CN" w:bidi="ar-SA"/>
        </w:rPr>
        <w:t>附件1</w:t>
      </w:r>
    </w:p>
    <w:tbl>
      <w:tblPr>
        <w:tblStyle w:val="7"/>
        <w:tblW w:w="9150" w:type="dxa"/>
        <w:tblInd w:w="-129" w:type="dxa"/>
        <w:tblLayout w:type="fixed"/>
        <w:tblCellMar>
          <w:top w:w="0" w:type="dxa"/>
          <w:left w:w="0" w:type="dxa"/>
          <w:bottom w:w="0" w:type="dxa"/>
          <w:right w:w="0" w:type="dxa"/>
        </w:tblCellMar>
      </w:tblPr>
      <w:tblGrid>
        <w:gridCol w:w="1820"/>
        <w:gridCol w:w="3083"/>
        <w:gridCol w:w="1911"/>
        <w:gridCol w:w="2336"/>
      </w:tblGrid>
      <w:tr w14:paraId="103D1F0D">
        <w:tblPrEx>
          <w:tblCellMar>
            <w:top w:w="0" w:type="dxa"/>
            <w:left w:w="0" w:type="dxa"/>
            <w:bottom w:w="0" w:type="dxa"/>
            <w:right w:w="0" w:type="dxa"/>
          </w:tblCellMar>
        </w:tblPrEx>
        <w:trPr>
          <w:trHeight w:val="807" w:hRule="atLeast"/>
        </w:trPr>
        <w:tc>
          <w:tcPr>
            <w:tcW w:w="9150" w:type="dxa"/>
            <w:gridSpan w:val="4"/>
            <w:vMerge w:val="restart"/>
            <w:tcBorders>
              <w:top w:val="nil"/>
              <w:left w:val="nil"/>
              <w:bottom w:val="nil"/>
              <w:right w:val="nil"/>
            </w:tcBorders>
            <w:noWrap w:val="0"/>
            <w:tcMar>
              <w:top w:w="15" w:type="dxa"/>
              <w:left w:w="15" w:type="dxa"/>
              <w:right w:w="15" w:type="dxa"/>
            </w:tcMar>
            <w:vAlign w:val="center"/>
          </w:tcPr>
          <w:p w14:paraId="285D4CF7">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val="en-US" w:eastAsia="zh-CN"/>
              </w:rPr>
              <w:t>2025承德市以旧换新承办企业</w:t>
            </w:r>
            <w:r>
              <w:rPr>
                <w:rFonts w:hint="eastAsia" w:ascii="方正小标宋简体" w:hAnsi="方正小标宋简体" w:eastAsia="方正小标宋简体" w:cs="方正小标宋简体"/>
                <w:color w:val="000000"/>
                <w:kern w:val="0"/>
                <w:sz w:val="36"/>
                <w:szCs w:val="36"/>
              </w:rPr>
              <w:t>申请表</w:t>
            </w:r>
          </w:p>
        </w:tc>
      </w:tr>
      <w:tr w14:paraId="7FE15614">
        <w:tblPrEx>
          <w:tblCellMar>
            <w:top w:w="0" w:type="dxa"/>
            <w:left w:w="0" w:type="dxa"/>
            <w:bottom w:w="0" w:type="dxa"/>
            <w:right w:w="0" w:type="dxa"/>
          </w:tblCellMar>
        </w:tblPrEx>
        <w:trPr>
          <w:trHeight w:val="312" w:hRule="atLeast"/>
        </w:trPr>
        <w:tc>
          <w:tcPr>
            <w:tcW w:w="9150" w:type="dxa"/>
            <w:gridSpan w:val="4"/>
            <w:vMerge w:val="continue"/>
            <w:tcBorders>
              <w:top w:val="nil"/>
              <w:left w:val="nil"/>
              <w:bottom w:val="nil"/>
              <w:right w:val="nil"/>
            </w:tcBorders>
            <w:noWrap w:val="0"/>
            <w:tcMar>
              <w:top w:w="15" w:type="dxa"/>
              <w:left w:w="15" w:type="dxa"/>
              <w:right w:w="15" w:type="dxa"/>
            </w:tcMar>
            <w:vAlign w:val="center"/>
          </w:tcPr>
          <w:p w14:paraId="4C2BDADF">
            <w:pPr>
              <w:keepNext w:val="0"/>
              <w:keepLines w:val="0"/>
              <w:pageBreakBefore w:val="0"/>
              <w:kinsoku/>
              <w:wordWrap/>
              <w:overflowPunct/>
              <w:topLinePunct w:val="0"/>
              <w:autoSpaceDE/>
              <w:autoSpaceDN/>
              <w:bidi w:val="0"/>
              <w:adjustRightInd/>
              <w:snapToGrid/>
              <w:spacing w:after="0" w:line="240" w:lineRule="auto"/>
              <w:jc w:val="center"/>
              <w:rPr>
                <w:rFonts w:ascii="方正小标宋简体" w:hAnsi="方正小标宋简体" w:eastAsia="方正小标宋简体" w:cs="方正小标宋简体"/>
                <w:color w:val="000000"/>
                <w:sz w:val="36"/>
                <w:szCs w:val="36"/>
              </w:rPr>
            </w:pPr>
          </w:p>
        </w:tc>
      </w:tr>
      <w:tr w14:paraId="7EF25BAB">
        <w:tblPrEx>
          <w:tblCellMar>
            <w:top w:w="0" w:type="dxa"/>
            <w:left w:w="0" w:type="dxa"/>
            <w:bottom w:w="0" w:type="dxa"/>
            <w:right w:w="0" w:type="dxa"/>
          </w:tblCellMar>
        </w:tblPrEx>
        <w:trPr>
          <w:trHeight w:val="606" w:hRule="atLeast"/>
        </w:trPr>
        <w:tc>
          <w:tcPr>
            <w:tcW w:w="9150" w:type="dxa"/>
            <w:gridSpan w:val="4"/>
            <w:tcBorders>
              <w:top w:val="nil"/>
              <w:left w:val="nil"/>
              <w:bottom w:val="nil"/>
              <w:right w:val="nil"/>
            </w:tcBorders>
            <w:noWrap w:val="0"/>
            <w:tcMar>
              <w:top w:w="15" w:type="dxa"/>
              <w:left w:w="15" w:type="dxa"/>
              <w:right w:w="15" w:type="dxa"/>
            </w:tcMar>
            <w:vAlign w:val="center"/>
          </w:tcPr>
          <w:p w14:paraId="0F48E4A9">
            <w:pPr>
              <w:keepNext w:val="0"/>
              <w:keepLines w:val="0"/>
              <w:pageBreakBefore w:val="0"/>
              <w:widowControl/>
              <w:kinsoku/>
              <w:wordWrap/>
              <w:overflowPunct/>
              <w:topLinePunct w:val="0"/>
              <w:autoSpaceDE/>
              <w:autoSpaceDN/>
              <w:bidi w:val="0"/>
              <w:adjustRightInd/>
              <w:snapToGrid/>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 xml:space="preserve">                                                             填报日期：</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年  月  日</w:t>
            </w:r>
          </w:p>
        </w:tc>
      </w:tr>
      <w:tr w14:paraId="0F3FA0E0">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79BCE">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企业名称</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5920D">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320413F6">
        <w:tblPrEx>
          <w:tblCellMar>
            <w:top w:w="0" w:type="dxa"/>
            <w:left w:w="0" w:type="dxa"/>
            <w:bottom w:w="0" w:type="dxa"/>
            <w:right w:w="0" w:type="dxa"/>
          </w:tblCellMar>
        </w:tblPrEx>
        <w:trPr>
          <w:trHeight w:val="1033" w:hRule="atLeast"/>
        </w:trPr>
        <w:tc>
          <w:tcPr>
            <w:tcW w:w="18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FC040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统一社会信用代码</w:t>
            </w:r>
          </w:p>
        </w:tc>
        <w:tc>
          <w:tcPr>
            <w:tcW w:w="7330"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260A167">
            <w:pPr>
              <w:keepNext w:val="0"/>
              <w:keepLines w:val="0"/>
              <w:pageBreakBefore w:val="0"/>
              <w:kinsoku/>
              <w:wordWrap/>
              <w:overflowPunct/>
              <w:topLinePunct w:val="0"/>
              <w:autoSpaceDE/>
              <w:autoSpaceDN/>
              <w:bidi w:val="0"/>
              <w:adjustRightInd/>
              <w:snapToGrid/>
              <w:spacing w:after="0" w:line="240" w:lineRule="auto"/>
              <w:jc w:val="center"/>
              <w:rPr>
                <w:rFonts w:ascii="宋体" w:hAnsi="宋体" w:cs="宋体"/>
                <w:color w:val="000000"/>
                <w:szCs w:val="21"/>
              </w:rPr>
            </w:pPr>
          </w:p>
        </w:tc>
      </w:tr>
      <w:tr w14:paraId="2E2189C3">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679C6">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企业经营地址</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39B52">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2884504B">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77470">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注册地址</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1AF40">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5FC5E76E">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F8E4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企业经营范围</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0448B">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456CFE25">
        <w:tblPrEx>
          <w:tblCellMar>
            <w:top w:w="0" w:type="dxa"/>
            <w:left w:w="0" w:type="dxa"/>
            <w:bottom w:w="0" w:type="dxa"/>
            <w:right w:w="0" w:type="dxa"/>
          </w:tblCellMar>
        </w:tblPrEx>
        <w:trPr>
          <w:trHeight w:val="863"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2B7D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自营线上平台名称（选填）</w:t>
            </w:r>
          </w:p>
        </w:tc>
        <w:tc>
          <w:tcPr>
            <w:tcW w:w="3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0CC61">
            <w:pPr>
              <w:keepNext w:val="0"/>
              <w:keepLines w:val="0"/>
              <w:pageBreakBefore w:val="0"/>
              <w:kinsoku/>
              <w:wordWrap/>
              <w:overflowPunct/>
              <w:topLinePunct w:val="0"/>
              <w:autoSpaceDE/>
              <w:autoSpaceDN/>
              <w:bidi w:val="0"/>
              <w:adjustRightInd/>
              <w:snapToGrid/>
              <w:spacing w:after="0" w:line="240" w:lineRule="auto"/>
              <w:jc w:val="center"/>
              <w:rPr>
                <w:rFonts w:ascii="宋体" w:hAnsi="宋体" w:cs="宋体"/>
                <w:color w:val="000000"/>
                <w:szCs w:val="21"/>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1CACD">
            <w:pPr>
              <w:keepNext w:val="0"/>
              <w:keepLines w:val="0"/>
              <w:pageBreakBefore w:val="0"/>
              <w:widowControl/>
              <w:kinsoku/>
              <w:wordWrap/>
              <w:overflowPunct/>
              <w:topLinePunct w:val="0"/>
              <w:autoSpaceDE/>
              <w:autoSpaceDN/>
              <w:bidi w:val="0"/>
              <w:adjustRightInd/>
              <w:snapToGrid/>
              <w:spacing w:after="0" w:line="240" w:lineRule="auto"/>
              <w:jc w:val="center"/>
              <w:textAlignment w:val="center"/>
            </w:pPr>
            <w:r>
              <w:rPr>
                <w:rFonts w:hint="eastAsia" w:ascii="宋体" w:hAnsi="宋体" w:cs="宋体"/>
                <w:color w:val="000000"/>
                <w:kern w:val="0"/>
                <w:szCs w:val="21"/>
              </w:rPr>
              <w:t>202</w:t>
            </w:r>
            <w:r>
              <w:rPr>
                <w:rFonts w:hint="eastAsia" w:ascii="宋体" w:hAnsi="宋体" w:cs="宋体"/>
                <w:color w:val="000000"/>
                <w:kern w:val="0"/>
                <w:szCs w:val="21"/>
                <w:lang w:val="en-US" w:eastAsia="zh-CN"/>
              </w:rPr>
              <w:t>4</w:t>
            </w:r>
            <w:r>
              <w:rPr>
                <w:rFonts w:hint="eastAsia" w:ascii="宋体" w:hAnsi="宋体" w:cs="宋体"/>
                <w:color w:val="000000"/>
                <w:kern w:val="0"/>
                <w:szCs w:val="21"/>
              </w:rPr>
              <w:t>年企业销售额</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82861">
            <w:pPr>
              <w:keepNext w:val="0"/>
              <w:keepLines w:val="0"/>
              <w:pageBreakBefore w:val="0"/>
              <w:widowControl/>
              <w:kinsoku/>
              <w:wordWrap/>
              <w:overflowPunct/>
              <w:topLinePunct w:val="0"/>
              <w:autoSpaceDE/>
              <w:autoSpaceDN/>
              <w:bidi w:val="0"/>
              <w:adjustRightInd/>
              <w:snapToGrid/>
              <w:spacing w:after="0" w:line="240" w:lineRule="auto"/>
              <w:jc w:val="center"/>
              <w:textAlignment w:val="center"/>
            </w:pPr>
            <w:r>
              <w:rPr>
                <w:rFonts w:hint="eastAsia" w:ascii="宋体" w:hAnsi="宋体" w:cs="宋体"/>
                <w:color w:val="000000"/>
                <w:kern w:val="0"/>
                <w:szCs w:val="21"/>
              </w:rPr>
              <w:t xml:space="preserve">   万元</w:t>
            </w:r>
          </w:p>
        </w:tc>
      </w:tr>
      <w:tr w14:paraId="6A6F72EF">
        <w:tblPrEx>
          <w:tblCellMar>
            <w:top w:w="0" w:type="dxa"/>
            <w:left w:w="0" w:type="dxa"/>
            <w:bottom w:w="0" w:type="dxa"/>
            <w:right w:w="0" w:type="dxa"/>
          </w:tblCellMar>
        </w:tblPrEx>
        <w:trPr>
          <w:trHeight w:val="588" w:hRule="atLeast"/>
        </w:trPr>
        <w:tc>
          <w:tcPr>
            <w:tcW w:w="18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76BF483">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法定代表人</w:t>
            </w:r>
          </w:p>
        </w:tc>
        <w:tc>
          <w:tcPr>
            <w:tcW w:w="308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1A9BF21">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c>
          <w:tcPr>
            <w:tcW w:w="19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57D03E1">
            <w:pPr>
              <w:keepNext w:val="0"/>
              <w:keepLines w:val="0"/>
              <w:pageBreakBefore w:val="0"/>
              <w:widowControl/>
              <w:kinsoku/>
              <w:wordWrap/>
              <w:overflowPunct/>
              <w:topLinePunct w:val="0"/>
              <w:autoSpaceDE/>
              <w:autoSpaceDN/>
              <w:bidi w:val="0"/>
              <w:adjustRightInd/>
              <w:snapToGrid/>
              <w:spacing w:after="0" w:line="240" w:lineRule="auto"/>
              <w:jc w:val="center"/>
              <w:textAlignment w:val="center"/>
            </w:pPr>
            <w:r>
              <w:rPr>
                <w:rFonts w:hint="eastAsia" w:ascii="宋体" w:hAnsi="宋体" w:cs="宋体"/>
                <w:color w:val="000000"/>
                <w:kern w:val="0"/>
                <w:szCs w:val="21"/>
              </w:rPr>
              <w:t>联系电话/手机</w:t>
            </w:r>
          </w:p>
        </w:tc>
        <w:tc>
          <w:tcPr>
            <w:tcW w:w="23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D48D467">
            <w:pPr>
              <w:keepNext w:val="0"/>
              <w:keepLines w:val="0"/>
              <w:pageBreakBefore w:val="0"/>
              <w:kinsoku/>
              <w:wordWrap/>
              <w:overflowPunct/>
              <w:topLinePunct w:val="0"/>
              <w:autoSpaceDE/>
              <w:autoSpaceDN/>
              <w:bidi w:val="0"/>
              <w:adjustRightInd/>
              <w:snapToGrid/>
              <w:spacing w:after="0" w:line="240" w:lineRule="auto"/>
            </w:pPr>
          </w:p>
        </w:tc>
      </w:tr>
      <w:tr w14:paraId="0703276A">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8951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联系人姓名</w:t>
            </w:r>
          </w:p>
        </w:tc>
        <w:tc>
          <w:tcPr>
            <w:tcW w:w="3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565DE">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u w:val="singl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5592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联系电话/手机</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03C8E">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411C6410">
        <w:tblPrEx>
          <w:tblCellMar>
            <w:top w:w="0" w:type="dxa"/>
            <w:left w:w="0" w:type="dxa"/>
            <w:bottom w:w="0" w:type="dxa"/>
            <w:right w:w="0" w:type="dxa"/>
          </w:tblCellMar>
        </w:tblPrEx>
        <w:trPr>
          <w:trHeight w:val="453"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35D1E">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企业结算账户账号</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184F2">
            <w:pPr>
              <w:keepNext w:val="0"/>
              <w:keepLines w:val="0"/>
              <w:pageBreakBefore w:val="0"/>
              <w:kinsoku/>
              <w:wordWrap/>
              <w:overflowPunct/>
              <w:topLinePunct w:val="0"/>
              <w:autoSpaceDE/>
              <w:autoSpaceDN/>
              <w:bidi w:val="0"/>
              <w:adjustRightInd/>
              <w:snapToGrid/>
              <w:spacing w:after="0" w:line="240" w:lineRule="auto"/>
              <w:jc w:val="center"/>
              <w:rPr>
                <w:rFonts w:ascii="宋体" w:hAnsi="宋体" w:cs="宋体"/>
                <w:color w:val="000000"/>
                <w:szCs w:val="21"/>
              </w:rPr>
            </w:pPr>
          </w:p>
        </w:tc>
      </w:tr>
      <w:tr w14:paraId="5F2A88C4">
        <w:tblPrEx>
          <w:tblCellMar>
            <w:top w:w="0" w:type="dxa"/>
            <w:left w:w="0" w:type="dxa"/>
            <w:bottom w:w="0" w:type="dxa"/>
            <w:right w:w="0" w:type="dxa"/>
          </w:tblCellMar>
        </w:tblPrEx>
        <w:trPr>
          <w:trHeight w:val="2485"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97CD3">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企业承诺</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67C1A">
            <w:pPr>
              <w:keepNext w:val="0"/>
              <w:keepLines w:val="0"/>
              <w:pageBreakBefore w:val="0"/>
              <w:widowControl/>
              <w:kinsoku/>
              <w:wordWrap/>
              <w:overflowPunct/>
              <w:topLinePunct w:val="0"/>
              <w:autoSpaceDE/>
              <w:autoSpaceDN/>
              <w:bidi w:val="0"/>
              <w:adjustRightInd/>
              <w:snapToGrid/>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 xml:space="preserve">    我单位按照</w:t>
            </w:r>
            <w:r>
              <w:rPr>
                <w:rFonts w:hint="eastAsia" w:ascii="宋体" w:hAnsi="宋体" w:cs="宋体"/>
                <w:color w:val="000000"/>
                <w:kern w:val="0"/>
                <w:szCs w:val="21"/>
                <w:lang w:val="en-US" w:eastAsia="zh-CN"/>
              </w:rPr>
              <w:t>2025年河北省承德市以旧换新</w:t>
            </w:r>
            <w:r>
              <w:rPr>
                <w:rFonts w:hint="eastAsia" w:ascii="宋体" w:hAnsi="宋体" w:cs="宋体"/>
                <w:color w:val="000000"/>
                <w:kern w:val="0"/>
                <w:szCs w:val="21"/>
              </w:rPr>
              <w:t>有关规定，保证提供的所有申报数据、材料等信息真实有效，并接受有关部门的监督。</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法定代表人（负责人）签字：</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（企业公章）</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年  月  日</w:t>
            </w:r>
          </w:p>
        </w:tc>
      </w:tr>
    </w:tbl>
    <w:p w14:paraId="3AF74329">
      <w:pPr>
        <w:pStyle w:val="11"/>
        <w:ind w:left="0" w:leftChars="0" w:firstLine="0" w:firstLineChars="0"/>
        <w:rPr>
          <w:rFonts w:hint="default" w:ascii="仿宋_GB2312" w:hAnsi="仿宋_GB2312" w:cs="仿宋_GB2312"/>
          <w:sz w:val="32"/>
          <w:szCs w:val="32"/>
          <w:lang w:val="en-US" w:eastAsia="zh-CN"/>
        </w:rPr>
        <w:sectPr>
          <w:footerReference r:id="rId3" w:type="default"/>
          <w:pgSz w:w="11906" w:h="16838"/>
          <w:pgMar w:top="2098" w:right="1474" w:bottom="2041" w:left="1587" w:header="851" w:footer="992" w:gutter="0"/>
          <w:cols w:space="720" w:num="1"/>
          <w:docGrid w:type="lines" w:linePitch="312" w:charSpace="0"/>
        </w:sectPr>
      </w:pPr>
    </w:p>
    <w:p w14:paraId="28F68E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32"/>
          <w:szCs w:val="32"/>
          <w:highlight w:val="none"/>
          <w:lang w:val="en-US" w:eastAsia="zh-CN"/>
        </w:rPr>
      </w:pPr>
      <w:r>
        <w:rPr>
          <w:rFonts w:hint="eastAsia" w:ascii="方正小标宋_GBK" w:hAnsi="方正小标宋_GBK" w:eastAsia="方正小标宋_GBK" w:cs="方正小标宋_GBK"/>
          <w:sz w:val="32"/>
          <w:szCs w:val="32"/>
          <w:highlight w:val="none"/>
          <w:lang w:val="en-US" w:eastAsia="zh-CN"/>
        </w:rPr>
        <w:t>附件2</w:t>
      </w:r>
    </w:p>
    <w:p w14:paraId="11678777">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5年承德市以旧换新承办主体</w:t>
      </w:r>
      <w:r>
        <w:rPr>
          <w:rFonts w:hint="eastAsia" w:ascii="方正小标宋简体" w:hAnsi="方正小标宋简体" w:eastAsia="方正小标宋简体" w:cs="方正小标宋简体"/>
          <w:sz w:val="44"/>
          <w:szCs w:val="44"/>
        </w:rPr>
        <w:t>承诺书</w:t>
      </w:r>
    </w:p>
    <w:p w14:paraId="144F4BD8">
      <w:pPr>
        <w:pStyle w:val="11"/>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14:paraId="3EE28A1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u w:val="single"/>
          <w:lang w:val="en-US" w:eastAsia="zh-CN"/>
        </w:rPr>
        <w:t xml:space="preserve">   (请填写单位名称)  </w:t>
      </w:r>
      <w:r>
        <w:rPr>
          <w:rFonts w:hint="eastAsia" w:ascii="仿宋_GB2312" w:hAnsi="仿宋_GB2312" w:eastAsia="仿宋_GB2312" w:cs="仿宋_GB2312"/>
          <w:sz w:val="32"/>
          <w:szCs w:val="32"/>
        </w:rPr>
        <w:t>申请参加202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河北省</w:t>
      </w:r>
      <w:r>
        <w:rPr>
          <w:rFonts w:hint="eastAsia" w:ascii="仿宋_GB2312" w:hAnsi="仿宋_GB2312" w:eastAsia="仿宋_GB2312" w:cs="仿宋_GB2312"/>
          <w:sz w:val="32"/>
          <w:szCs w:val="32"/>
          <w:lang w:val="en-US" w:eastAsia="zh-CN"/>
        </w:rPr>
        <w:t>承德市</w:t>
      </w:r>
      <w:r>
        <w:rPr>
          <w:rFonts w:hint="eastAsia" w:ascii="仿宋_GB2312" w:hAnsi="仿宋_GB2312" w:eastAsia="仿宋_GB2312" w:cs="仿宋_GB2312"/>
          <w:sz w:val="32"/>
          <w:szCs w:val="32"/>
        </w:rPr>
        <w:t>以旧换</w:t>
      </w:r>
      <w:r>
        <w:rPr>
          <w:rFonts w:hint="eastAsia" w:ascii="仿宋_GB2312" w:hAnsi="仿宋_GB2312" w:eastAsia="仿宋_GB2312" w:cs="仿宋_GB2312"/>
          <w:sz w:val="32"/>
          <w:szCs w:val="32"/>
          <w:lang w:val="en-US" w:eastAsia="zh-CN"/>
        </w:rPr>
        <w:t>新活动</w:t>
      </w:r>
      <w:r>
        <w:rPr>
          <w:rFonts w:hint="eastAsia" w:ascii="仿宋_GB2312" w:hAnsi="仿宋_GB2312" w:eastAsia="仿宋_GB2312" w:cs="仿宋_GB2312"/>
          <w:sz w:val="32"/>
          <w:szCs w:val="32"/>
        </w:rPr>
        <w:t>，并承诺如下:</w:t>
      </w:r>
    </w:p>
    <w:p w14:paraId="3B48C56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一、严格遵守活动各项要求，积极参与，如实开展政策宣传，不擅自增设消费者参与活动的附加、限制条件，并</w:t>
      </w:r>
      <w:r>
        <w:rPr>
          <w:rFonts w:hint="eastAsia" w:ascii="仿宋_GB2312" w:hAnsi="仿宋_GB2312" w:eastAsia="仿宋_GB2312" w:cs="仿宋_GB2312"/>
          <w:color w:val="auto"/>
          <w:sz w:val="32"/>
          <w:szCs w:val="32"/>
        </w:rPr>
        <w:t>在营业场所</w:t>
      </w:r>
      <w:r>
        <w:rPr>
          <w:rFonts w:hint="eastAsia" w:ascii="仿宋_GB2312" w:hAnsi="仿宋_GB2312" w:eastAsia="仿宋_GB2312" w:cs="仿宋_GB2312"/>
          <w:color w:val="auto"/>
          <w:sz w:val="32"/>
          <w:szCs w:val="32"/>
          <w:lang w:val="en-US" w:eastAsia="zh-CN"/>
        </w:rPr>
        <w:t>显著位置</w:t>
      </w:r>
      <w:r>
        <w:rPr>
          <w:rFonts w:hint="eastAsia" w:ascii="仿宋_GB2312" w:hAnsi="仿宋_GB2312" w:eastAsia="仿宋_GB2312" w:cs="仿宋_GB2312"/>
          <w:color w:val="auto"/>
          <w:sz w:val="32"/>
          <w:szCs w:val="32"/>
        </w:rPr>
        <w:t>公示咨询投诉电话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14:paraId="5160C83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二、本着诚实守信的原则</w:t>
      </w:r>
      <w:r>
        <w:rPr>
          <w:rFonts w:hint="eastAsia" w:ascii="仿宋_GB2312" w:hAnsi="仿宋_GB2312" w:eastAsia="仿宋_GB2312" w:cs="仿宋_GB2312"/>
          <w:color w:val="auto"/>
          <w:sz w:val="32"/>
          <w:szCs w:val="32"/>
          <w:lang w:val="en-US" w:eastAsia="zh-CN"/>
        </w:rPr>
        <w:t>开展以旧换新活动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并如实提供参与门店、商品、销售以及消费信息，</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市县两级商务部门或</w:t>
      </w:r>
      <w:r>
        <w:rPr>
          <w:rFonts w:hint="eastAsia" w:ascii="仿宋_GB2312" w:hAnsi="仿宋_GB2312" w:eastAsia="仿宋_GB2312" w:cs="仿宋_GB2312"/>
          <w:color w:val="auto"/>
          <w:sz w:val="32"/>
          <w:szCs w:val="32"/>
        </w:rPr>
        <w:t>第三方</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审计</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14:paraId="5E18251B">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eastAsia="仿宋_GB2312" w:cs="仿宋_GB2312"/>
          <w:color w:val="auto"/>
          <w:sz w:val="32"/>
          <w:szCs w:val="32"/>
          <w:lang w:val="en-US" w:eastAsia="zh-CN"/>
        </w:rPr>
        <w:t>三、</w:t>
      </w:r>
      <w:r>
        <w:rPr>
          <w:rFonts w:hint="eastAsia" w:ascii="仿宋_GB2312" w:hAnsi="仿宋_GB2312" w:cs="仿宋_GB2312"/>
        </w:rPr>
        <w:t>全力配合</w:t>
      </w:r>
      <w:r>
        <w:rPr>
          <w:rFonts w:hint="eastAsia" w:ascii="仿宋_GB2312" w:hAnsi="仿宋_GB2312" w:cs="仿宋_GB2312"/>
          <w:lang w:val="en-US" w:eastAsia="zh-CN"/>
        </w:rPr>
        <w:t>政策实施</w:t>
      </w:r>
      <w:r>
        <w:rPr>
          <w:rFonts w:hint="eastAsia" w:ascii="仿宋_GB2312" w:hAnsi="仿宋_GB2312" w:cs="仿宋_GB2312"/>
        </w:rPr>
        <w:t>部门及服务机构</w:t>
      </w:r>
      <w:r>
        <w:rPr>
          <w:rFonts w:hint="eastAsia" w:ascii="仿宋_GB2312" w:hAnsi="仿宋_GB2312" w:cs="仿宋_GB2312"/>
          <w:lang w:eastAsia="zh-CN"/>
        </w:rPr>
        <w:t>实施</w:t>
      </w:r>
      <w:r>
        <w:rPr>
          <w:rFonts w:hint="eastAsia" w:ascii="仿宋_GB2312" w:hAnsi="仿宋_GB2312" w:cs="仿宋_GB2312"/>
        </w:rPr>
        <w:t>相关套利防控措施，严格审核消费者的参与资格，</w:t>
      </w:r>
      <w:r>
        <w:rPr>
          <w:rFonts w:hint="eastAsia" w:ascii="仿宋_GB2312" w:hAnsi="仿宋_GB2312" w:cs="仿宋_GB2312"/>
          <w:lang w:val="en-US" w:eastAsia="zh-CN"/>
        </w:rPr>
        <w:t>采取积极举措</w:t>
      </w:r>
      <w:r>
        <w:rPr>
          <w:rFonts w:hint="eastAsia" w:ascii="仿宋_GB2312" w:hAnsi="仿宋_GB2312" w:cs="仿宋_GB2312"/>
        </w:rPr>
        <w:t>预防并制止“黄牛”等恶意套利行为。</w:t>
      </w:r>
    </w:p>
    <w:p w14:paraId="679C71EF">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cs="仿宋_GB2312"/>
          <w:lang w:val="en-US" w:eastAsia="zh-CN"/>
        </w:rPr>
      </w:pPr>
      <w:r>
        <w:rPr>
          <w:rFonts w:hint="eastAsia" w:ascii="仿宋_GB2312" w:hAnsi="仿宋_GB2312" w:cs="仿宋_GB2312"/>
          <w:lang w:val="en-US" w:eastAsia="zh-CN"/>
        </w:rPr>
        <w:t>四、不以已参与以旧换新为由拒绝“七天无理由退货”等消费者合法诉求。但若消费者确需进行退货，能够配合政策实施部门及服务机构做好已享受补贴的清算工作。</w:t>
      </w:r>
    </w:p>
    <w:p w14:paraId="26A19681">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val="en-US" w:eastAsia="zh-CN"/>
        </w:rPr>
        <w:t>五、</w:t>
      </w:r>
      <w:r>
        <w:rPr>
          <w:rFonts w:hint="eastAsia" w:ascii="仿宋_GB2312" w:hAnsi="仿宋_GB2312" w:cs="仿宋_GB2312"/>
        </w:rPr>
        <w:t>指定专人负责处理包括但不限于日常沟通、宣传推广、客户投诉等补贴政策中涉及的各项事宜。</w:t>
      </w:r>
    </w:p>
    <w:p w14:paraId="69257612">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cs="仿宋_GB2312"/>
          <w:u w:val="single"/>
        </w:rPr>
      </w:pPr>
      <w:r>
        <w:rPr>
          <w:rFonts w:hint="eastAsia" w:ascii="仿宋_GB2312" w:hAnsi="仿宋_GB2312" w:cs="仿宋_GB2312"/>
        </w:rPr>
        <w:t>联 系 人：</w:t>
      </w:r>
      <w:r>
        <w:rPr>
          <w:rFonts w:hint="eastAsia" w:ascii="仿宋_GB2312" w:hAnsi="仿宋_GB2312" w:cs="仿宋_GB2312"/>
          <w:u w:val="single"/>
        </w:rPr>
        <w:t xml:space="preserve">                      </w:t>
      </w:r>
    </w:p>
    <w:p w14:paraId="2EEB5EE2">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cs="仿宋_GB2312"/>
        </w:rPr>
      </w:pPr>
      <w:r>
        <w:rPr>
          <w:rFonts w:hint="eastAsia" w:ascii="仿宋_GB2312" w:hAnsi="仿宋_GB2312" w:cs="仿宋_GB2312"/>
        </w:rPr>
        <w:t>联系电话：</w:t>
      </w:r>
      <w:r>
        <w:rPr>
          <w:rFonts w:hint="eastAsia" w:ascii="仿宋_GB2312" w:hAnsi="仿宋_GB2312" w:cs="仿宋_GB2312"/>
          <w:u w:val="single"/>
        </w:rPr>
        <w:t xml:space="preserve">                      </w:t>
      </w:r>
      <w:r>
        <w:rPr>
          <w:rFonts w:hint="eastAsia" w:ascii="仿宋_GB2312" w:hAnsi="仿宋_GB2312" w:cs="仿宋_GB2312"/>
        </w:rPr>
        <w:t xml:space="preserve">  </w:t>
      </w:r>
    </w:p>
    <w:p w14:paraId="5E810A6B">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eastAsia="zh-CN"/>
        </w:rPr>
        <w:t>本单位</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政策实施部门和服务机构有权随时取消</w:t>
      </w:r>
      <w:r>
        <w:rPr>
          <w:rFonts w:hint="eastAsia" w:ascii="仿宋_GB2312" w:hAnsi="仿宋_GB2312" w:cs="仿宋_GB2312"/>
          <w:lang w:eastAsia="zh-CN"/>
        </w:rPr>
        <w:t>本单位</w:t>
      </w:r>
      <w:r>
        <w:rPr>
          <w:rFonts w:hint="eastAsia" w:ascii="仿宋_GB2312" w:hAnsi="仿宋_GB2312" w:cs="仿宋_GB2312"/>
        </w:rPr>
        <w:t>所有门店参与政策的资格,并丧失后续参与补贴政策的资格，且</w:t>
      </w:r>
      <w:r>
        <w:rPr>
          <w:rFonts w:hint="eastAsia" w:ascii="仿宋_GB2312" w:hAnsi="仿宋_GB2312" w:cs="仿宋_GB2312"/>
          <w:lang w:eastAsia="zh-CN"/>
        </w:rPr>
        <w:t>本单位</w:t>
      </w:r>
      <w:r>
        <w:rPr>
          <w:rFonts w:hint="eastAsia" w:ascii="仿宋_GB2312" w:hAnsi="仿宋_GB2312" w:cs="仿宋_GB2312"/>
        </w:rPr>
        <w:t>同意政策实施部门和服务机构可进一步采取包括但不限于以下任一或同时采取以下全部措施，追究</w:t>
      </w:r>
      <w:r>
        <w:rPr>
          <w:rFonts w:hint="eastAsia" w:ascii="仿宋_GB2312" w:hAnsi="仿宋_GB2312" w:cs="仿宋_GB2312"/>
          <w:lang w:eastAsia="zh-CN"/>
        </w:rPr>
        <w:t>本单位</w:t>
      </w:r>
      <w:r>
        <w:rPr>
          <w:rFonts w:hint="eastAsia" w:ascii="仿宋_GB2312" w:hAnsi="仿宋_GB2312" w:cs="仿宋_GB2312"/>
        </w:rPr>
        <w:t>相关违约责任：</w:t>
      </w:r>
    </w:p>
    <w:p w14:paraId="628E0F29">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val="en-US" w:eastAsia="zh-CN"/>
        </w:rPr>
        <w:t>(1)</w:t>
      </w:r>
      <w:r>
        <w:rPr>
          <w:rFonts w:hint="eastAsia" w:ascii="仿宋_GB2312" w:hAnsi="仿宋_GB2312" w:cs="仿宋_GB2312"/>
        </w:rPr>
        <w:t>要求</w:t>
      </w:r>
      <w:r>
        <w:rPr>
          <w:rFonts w:hint="eastAsia" w:ascii="仿宋_GB2312" w:hAnsi="仿宋_GB2312" w:cs="仿宋_GB2312"/>
          <w:lang w:eastAsia="zh-CN"/>
        </w:rPr>
        <w:t>本单位</w:t>
      </w:r>
      <w:r>
        <w:rPr>
          <w:rFonts w:hint="eastAsia" w:ascii="仿宋_GB2312" w:hAnsi="仿宋_GB2312" w:cs="仿宋_GB2312"/>
        </w:rPr>
        <w:t>全额退还经政策实施部门和服务机构认定的违约行为所涉补贴政策资金；</w:t>
      </w:r>
    </w:p>
    <w:p w14:paraId="0EA59C95">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val="en-US" w:eastAsia="zh-CN"/>
        </w:rPr>
        <w:t>(2)</w:t>
      </w:r>
      <w:r>
        <w:rPr>
          <w:rFonts w:hint="eastAsia" w:ascii="仿宋_GB2312" w:hAnsi="仿宋_GB2312" w:cs="仿宋_GB2312"/>
        </w:rPr>
        <w:t>要求</w:t>
      </w:r>
      <w:r>
        <w:rPr>
          <w:rFonts w:hint="eastAsia" w:ascii="仿宋_GB2312" w:hAnsi="仿宋_GB2312" w:cs="仿宋_GB2312"/>
          <w:lang w:eastAsia="zh-CN"/>
        </w:rPr>
        <w:t>本单位</w:t>
      </w:r>
      <w:r>
        <w:rPr>
          <w:rFonts w:hint="eastAsia" w:ascii="仿宋_GB2312" w:hAnsi="仿宋_GB2312" w:cs="仿宋_GB2312"/>
        </w:rPr>
        <w:t>赔偿违约行为所导致的一切损失；</w:t>
      </w:r>
    </w:p>
    <w:p w14:paraId="70FD086B">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val="en-US" w:eastAsia="zh-CN"/>
        </w:rPr>
        <w:t>(3)</w:t>
      </w:r>
      <w:r>
        <w:rPr>
          <w:rFonts w:hint="eastAsia" w:ascii="仿宋_GB2312" w:hAnsi="仿宋_GB2312" w:cs="仿宋_GB2312"/>
        </w:rPr>
        <w:t>政策实施部门有权会同相关部门将</w:t>
      </w:r>
      <w:r>
        <w:rPr>
          <w:rFonts w:hint="eastAsia" w:ascii="仿宋_GB2312" w:hAnsi="仿宋_GB2312" w:cs="仿宋_GB2312"/>
          <w:lang w:eastAsia="zh-CN"/>
        </w:rPr>
        <w:t>本单位</w:t>
      </w:r>
      <w:r>
        <w:rPr>
          <w:rFonts w:hint="eastAsia" w:ascii="仿宋_GB2312" w:hAnsi="仿宋_GB2312" w:cs="仿宋_GB2312"/>
        </w:rPr>
        <w:t>依法列入不诚信单位名单。</w:t>
      </w:r>
    </w:p>
    <w:p w14:paraId="1A1C0DBD">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rPr>
        <w:t>特此承诺。</w:t>
      </w:r>
    </w:p>
    <w:p w14:paraId="6C48823C">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p>
    <w:p w14:paraId="6BCE03D7">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cs="仿宋_GB2312"/>
          <w:u w:val="single"/>
          <w:lang w:val="en-US" w:eastAsia="zh-CN"/>
        </w:rPr>
      </w:pPr>
    </w:p>
    <w:p w14:paraId="7B0E5F5D">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申报主体（盖章）：</w:t>
      </w:r>
    </w:p>
    <w:p w14:paraId="4693328B">
      <w:pPr>
        <w:pStyle w:val="11"/>
        <w:keepNext w:val="0"/>
        <w:keepLines w:val="0"/>
        <w:pageBreakBefore w:val="0"/>
        <w:widowControl w:val="0"/>
        <w:kinsoku/>
        <w:wordWrap/>
        <w:overflowPunct/>
        <w:topLinePunct w:val="0"/>
        <w:autoSpaceDE/>
        <w:autoSpaceDN/>
        <w:bidi w:val="0"/>
        <w:adjustRightInd/>
        <w:snapToGrid/>
        <w:spacing w:after="0" w:line="560" w:lineRule="exact"/>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负责人</w:t>
      </w:r>
      <w:r>
        <w:rPr>
          <w:rFonts w:hint="eastAsia" w:ascii="仿宋_GB2312" w:hAnsi="仿宋_GB2312" w:cs="仿宋_GB2312"/>
        </w:rPr>
        <w:t>签字：</w:t>
      </w:r>
    </w:p>
    <w:p w14:paraId="22EC307E">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14:paraId="4B1EDF1C">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rPr>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p w14:paraId="705CCA40">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rPr>
      </w:pPr>
    </w:p>
    <w:p w14:paraId="7216691D">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rPr>
      </w:pPr>
    </w:p>
    <w:p w14:paraId="09934B3C">
      <w:pPr>
        <w:pStyle w:val="11"/>
        <w:rPr>
          <w:rFonts w:hint="eastAsia" w:ascii="仿宋_GB2312" w:hAnsi="仿宋_GB2312" w:eastAsia="仿宋_GB2312" w:cs="仿宋_GB2312"/>
          <w:sz w:val="32"/>
          <w:szCs w:val="32"/>
          <w:lang w:val="en-US" w:eastAsia="zh-CN"/>
        </w:rPr>
      </w:pPr>
    </w:p>
    <w:p w14:paraId="3DBCA780">
      <w:pPr>
        <w:pStyle w:val="11"/>
        <w:spacing w:line="600" w:lineRule="exact"/>
        <w:ind w:firstLine="0" w:firstLineChars="0"/>
        <w:jc w:val="both"/>
        <w:rPr>
          <w:rFonts w:hint="eastAsia" w:ascii="黑体" w:hAnsi="黑体" w:eastAsia="黑体" w:cs="黑体"/>
          <w:color w:val="000000"/>
          <w:spacing w:val="-11"/>
          <w:lang w:eastAsia="zh-CN"/>
        </w:rPr>
      </w:pPr>
    </w:p>
    <w:p w14:paraId="61411E98">
      <w:pPr>
        <w:pStyle w:val="11"/>
        <w:spacing w:line="600" w:lineRule="exact"/>
        <w:ind w:firstLine="0" w:firstLineChars="0"/>
        <w:jc w:val="both"/>
        <w:rPr>
          <w:rFonts w:hint="eastAsia" w:ascii="黑体" w:hAnsi="黑体" w:eastAsia="黑体" w:cs="黑体"/>
          <w:color w:val="000000"/>
          <w:spacing w:val="-11"/>
          <w:lang w:eastAsia="zh-CN"/>
        </w:rPr>
      </w:pPr>
    </w:p>
    <w:p w14:paraId="5A3AB9A9">
      <w:pPr>
        <w:pStyle w:val="11"/>
        <w:spacing w:line="600" w:lineRule="exact"/>
        <w:ind w:firstLine="0" w:firstLineChars="0"/>
        <w:jc w:val="both"/>
        <w:rPr>
          <w:rFonts w:hint="eastAsia" w:ascii="黑体" w:hAnsi="黑体" w:eastAsia="黑体" w:cs="黑体"/>
          <w:color w:val="000000"/>
          <w:spacing w:val="-11"/>
          <w:lang w:eastAsia="zh-CN"/>
        </w:rPr>
      </w:pPr>
    </w:p>
    <w:p w14:paraId="09BB3271">
      <w:pPr>
        <w:keepNext w:val="0"/>
        <w:keepLines w:val="0"/>
        <w:pageBreakBefore w:val="0"/>
        <w:widowControl w:val="0"/>
        <w:suppressAutoHyphens/>
        <w:kinsoku/>
        <w:wordWrap/>
        <w:overflowPunct/>
        <w:topLinePunct/>
        <w:autoSpaceDE/>
        <w:autoSpaceDN/>
        <w:bidi w:val="0"/>
        <w:adjustRightInd/>
        <w:snapToGrid/>
        <w:spacing w:line="580" w:lineRule="exact"/>
        <w:jc w:val="both"/>
        <w:textAlignment w:val="auto"/>
        <w:rPr>
          <w:rFonts w:hint="default" w:ascii="Times New Roman" w:hAnsi="Times New Roman" w:eastAsia="仿宋_GB2312" w:cs="文星仿宋"/>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附件:3</w:t>
      </w:r>
    </w:p>
    <w:p w14:paraId="66433D6F">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eastAsia" w:ascii="Times New Roman" w:hAnsi="Times New Roman" w:eastAsia="方正小标宋简体" w:cs="方正小标宋简体"/>
          <w:sz w:val="32"/>
          <w:szCs w:val="32"/>
        </w:rPr>
      </w:pPr>
    </w:p>
    <w:p w14:paraId="53713D18">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参加电动自行车以旧换新工作</w:t>
      </w:r>
      <w:r>
        <w:rPr>
          <w:rFonts w:hint="eastAsia" w:ascii="Times New Roman" w:hAnsi="Times New Roman" w:eastAsia="方正小标宋_GBK" w:cs="方正小标宋_GBK"/>
          <w:sz w:val="44"/>
          <w:szCs w:val="44"/>
          <w:lang w:eastAsia="zh-CN"/>
        </w:rPr>
        <w:t>承办单位</w:t>
      </w:r>
    </w:p>
    <w:p w14:paraId="07A4EC7B">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rPr>
        <w:t>销售企业</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rPr>
        <w:t>承诺书</w:t>
      </w:r>
    </w:p>
    <w:p w14:paraId="2AEA9AD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p>
    <w:p w14:paraId="441B38F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我单位作为销售企业/门店，自愿参加电动自行车以旧换新，经批准后，承担相应的换新等任务，现郑重承诺如下：</w:t>
      </w:r>
    </w:p>
    <w:p w14:paraId="45F9B37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1.本单位依法合规设立，具备相应销售资质。</w:t>
      </w:r>
    </w:p>
    <w:p w14:paraId="136DBE9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2.销售的参加以旧换新活动的电动自行车新车，具有符合现行强制性国家标准的产品合格证、强制性产品认证（CCC）证书。</w:t>
      </w:r>
    </w:p>
    <w:p w14:paraId="44891EB5">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3.保证销售的参加以旧换新活动的电动自行车新车的价格，不高于参加以旧换新活动前1个月内本单位同款产品的平均成交价格。向社会公开承诺，不搞先涨价再补贴，接受消费者监督。</w:t>
      </w:r>
    </w:p>
    <w:p w14:paraId="587A2C2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4.加强政策宣传，做到政策图解、价格公示、监督电话、</w:t>
      </w:r>
      <w:r>
        <w:rPr>
          <w:rFonts w:hint="eastAsia" w:ascii="Times New Roman" w:hAnsi="Times New Roman" w:eastAsia="仿宋_GB2312"/>
          <w:sz w:val="32"/>
          <w:szCs w:val="32"/>
          <w:lang w:eastAsia="zh-CN"/>
        </w:rPr>
        <w:t>承</w:t>
      </w:r>
      <w:r>
        <w:rPr>
          <w:rFonts w:hint="eastAsia" w:ascii="Times New Roman" w:hAnsi="Times New Roman" w:eastAsia="仿宋_GB2312"/>
          <w:sz w:val="32"/>
          <w:szCs w:val="32"/>
        </w:rPr>
        <w:t>诺书“四上墙”。</w:t>
      </w:r>
    </w:p>
    <w:p w14:paraId="471A87E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5.保证参加以旧换新活动收回的报废老旧电动自行车及自带的锂离子蓄电池、铅酸蓄电池未经我单位流入二手市场、改装黑作坊和骗补。</w:t>
      </w:r>
    </w:p>
    <w:p w14:paraId="68069BA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妥善临时性保管参加以旧换新活动收回的老旧电动自行车及自带的锂离子蓄电池、铅酸蓄电池，不在居民住宅、人员密集场所违规储存。及时交回收企业清运，做到“一日一清”。参加以旧换新活动期间，杜绝发生火灾事故。</w:t>
      </w:r>
    </w:p>
    <w:p w14:paraId="2532941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7.接受有关监督执法部门的监督检查，以及电动自行车以</w:t>
      </w:r>
      <w:r>
        <w:rPr>
          <w:rFonts w:hint="eastAsia" w:ascii="Times New Roman" w:hAnsi="Times New Roman" w:eastAsia="仿宋_GB2312"/>
          <w:sz w:val="32"/>
          <w:szCs w:val="32"/>
          <w:lang w:eastAsia="zh-CN"/>
        </w:rPr>
        <w:t>旧</w:t>
      </w:r>
      <w:r>
        <w:rPr>
          <w:rFonts w:hint="eastAsia" w:ascii="Times New Roman" w:hAnsi="Times New Roman" w:eastAsia="仿宋_GB2312"/>
          <w:sz w:val="32"/>
          <w:szCs w:val="32"/>
        </w:rPr>
        <w:t>换新工作牵头部门的工作指导，落实各项工作要求。</w:t>
      </w:r>
    </w:p>
    <w:p w14:paraId="4AAD72EB">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8.认真贯彻执行安全生产和消防安全等法律法规，加强安全生产和消防安全管理，落实安全防范措施。</w:t>
      </w:r>
    </w:p>
    <w:p w14:paraId="21ADC35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如果违反以上承诺，本企业/门店愿意无条件承担相应后果和法律责任。</w:t>
      </w:r>
    </w:p>
    <w:p w14:paraId="743DA8F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rPr>
      </w:pPr>
    </w:p>
    <w:p w14:paraId="28A0EF2A">
      <w:pPr>
        <w:keepNext w:val="0"/>
        <w:keepLines w:val="0"/>
        <w:pageBreakBefore w:val="0"/>
        <w:widowControl w:val="0"/>
        <w:suppressAutoHyphens/>
        <w:kinsoku/>
        <w:wordWrap/>
        <w:overflowPunct/>
        <w:topLinePunct/>
        <w:autoSpaceDE/>
        <w:autoSpaceDN/>
        <w:bidi w:val="0"/>
        <w:adjustRightInd/>
        <w:snapToGrid/>
        <w:spacing w:line="580" w:lineRule="exact"/>
        <w:jc w:val="both"/>
        <w:textAlignment w:val="auto"/>
        <w:rPr>
          <w:rFonts w:hint="eastAsia" w:ascii="Times New Roman" w:hAnsi="Times New Roman" w:eastAsia="仿宋_GB2312" w:cs="文星仿宋"/>
          <w:color w:val="auto"/>
          <w:kern w:val="2"/>
          <w:sz w:val="32"/>
          <w:szCs w:val="32"/>
          <w:lang w:val="en-US" w:eastAsia="zh-CN" w:bidi="ar-SA"/>
        </w:rPr>
      </w:pPr>
    </w:p>
    <w:p w14:paraId="04EFB62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承诺企业/门店（盖章）：</w:t>
      </w:r>
    </w:p>
    <w:p w14:paraId="5D188F60">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法人代表或负责人（签字）：</w:t>
      </w:r>
    </w:p>
    <w:p w14:paraId="14488AFA">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2025年</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 xml:space="preserve"> 月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日</w:t>
      </w:r>
    </w:p>
    <w:p w14:paraId="56169500">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Times New Roman" w:hAnsi="Times New Roman" w:eastAsia="黑体"/>
          <w:sz w:val="32"/>
          <w:lang w:eastAsia="zh-CN"/>
        </w:rPr>
      </w:pPr>
      <w:r>
        <w:rPr>
          <w:rFonts w:hint="eastAsia" w:ascii="Times New Roman" w:hAnsi="Times New Roman" w:eastAsia="仿宋_GB2312"/>
          <w:sz w:val="32"/>
        </w:rPr>
        <w:br w:type="page"/>
      </w:r>
      <w:r>
        <w:rPr>
          <w:rFonts w:hint="eastAsia" w:ascii="Times New Roman" w:hAnsi="Times New Roman" w:eastAsia="黑体" w:cs="黑体"/>
          <w:sz w:val="32"/>
        </w:rPr>
        <w:t>附件</w:t>
      </w:r>
      <w:r>
        <w:rPr>
          <w:rFonts w:hint="eastAsia" w:ascii="Times New Roman" w:hAnsi="Times New Roman" w:eastAsia="仿宋_GB2312"/>
          <w:sz w:val="32"/>
          <w:lang w:val="en-US" w:eastAsia="zh-CN"/>
        </w:rPr>
        <w:t>4</w:t>
      </w:r>
    </w:p>
    <w:p w14:paraId="62C71E19">
      <w:pPr>
        <w:keepNext w:val="0"/>
        <w:keepLines w:val="0"/>
        <w:pageBreakBefore w:val="0"/>
        <w:widowControl w:val="0"/>
        <w:suppressAutoHyphens/>
        <w:kinsoku/>
        <w:wordWrap/>
        <w:overflowPunct/>
        <w:topLinePunct/>
        <w:autoSpaceDE/>
        <w:autoSpaceDN/>
        <w:bidi w:val="0"/>
        <w:adjustRightInd/>
        <w:snapToGrid/>
        <w:spacing w:line="580" w:lineRule="exact"/>
        <w:jc w:val="both"/>
        <w:textAlignment w:val="auto"/>
        <w:rPr>
          <w:rFonts w:hint="eastAsia" w:ascii="Times New Roman" w:hAnsi="Times New Roman" w:eastAsia="仿宋_GB2312" w:cs="文星仿宋"/>
          <w:color w:val="auto"/>
          <w:kern w:val="2"/>
          <w:sz w:val="32"/>
          <w:szCs w:val="32"/>
          <w:lang w:val="en-US" w:eastAsia="zh-CN" w:bidi="ar-SA"/>
        </w:rPr>
      </w:pPr>
    </w:p>
    <w:p w14:paraId="029F634E">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参加电动自行车以旧换新工作回收企业承诺书</w:t>
      </w:r>
    </w:p>
    <w:p w14:paraId="1AE9E386">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Times New Roman" w:hAnsi="Times New Roman" w:eastAsia="仿宋_GB2312"/>
          <w:sz w:val="32"/>
        </w:rPr>
      </w:pPr>
    </w:p>
    <w:p w14:paraId="6B9662B5">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我单位作为回收企业，自愿参加电动自行车以旧换新，经批准后，承担老旧电动自行车报废回收任务，现郑重承诺如下：</w:t>
      </w:r>
    </w:p>
    <w:p w14:paraId="4DB13A67">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1.本单位依法合规设立，具备相应回收资质。</w:t>
      </w:r>
    </w:p>
    <w:p w14:paraId="49FC3B80">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2.按照公允原则回收消费者交售的报废老旧电动自行车，保证价格公平、不操纵市场，不串通压价。</w:t>
      </w:r>
    </w:p>
    <w:p w14:paraId="12437F0B">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3.妥善处理报废旧车，及时到销售门店接收、清运以旧换新活动回收的报废车辆，完善交接登记手续，其蓄电池应做到“一日一清”</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确保安全。</w:t>
      </w:r>
    </w:p>
    <w:p w14:paraId="1421EDB6">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4.保证对回收的报废老旧电动自行车及自带的锂离子蓄电池、铅酸蓄电池，交由具备资质的拆解或综合利用企业进行专业处置，不非法拆解处理。</w:t>
      </w:r>
    </w:p>
    <w:p w14:paraId="74940188">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5.保证以旧换新活动回收的车架、锂离子蓄电池、铅酸蓄电池未经我单位流入二手市场、改装黑作坊和骗补，严防发生安全事故。</w:t>
      </w:r>
    </w:p>
    <w:p w14:paraId="14080098">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6.接受资质审批的行业主管部门监督管理，以及电动自行车以旧换新工作牵头部门的工作指导，落实各项工作要求。</w:t>
      </w:r>
    </w:p>
    <w:p w14:paraId="124CB1DE">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宋体" w:hAnsi="Courier New" w:eastAsia="仿宋_GB2312" w:cs="文星仿宋"/>
          <w:color w:val="auto"/>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7.认真贯彻执行安全生产和消防安全等法律法规，加强安全生产和消防安全管理，落实安全防范措施。</w:t>
      </w:r>
    </w:p>
    <w:p w14:paraId="1B3C6F4E">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如果违反以上承诺，本企业愿意无条件承担相应后果和法律责任。</w:t>
      </w:r>
    </w:p>
    <w:p w14:paraId="45ABBE39">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p>
    <w:p w14:paraId="480250BE">
      <w:pPr>
        <w:keepNext w:val="0"/>
        <w:keepLines w:val="0"/>
        <w:pageBreakBefore w:val="0"/>
        <w:widowControl w:val="0"/>
        <w:kinsoku/>
        <w:wordWrap/>
        <w:overflowPunct/>
        <w:topLinePunct/>
        <w:autoSpaceDE/>
        <w:autoSpaceDN/>
        <w:bidi w:val="0"/>
        <w:adjustRightInd/>
        <w:snapToGrid/>
        <w:spacing w:line="460" w:lineRule="exact"/>
        <w:ind w:firstLine="3900" w:firstLineChars="13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承诺企业（盖章）：</w:t>
      </w:r>
    </w:p>
    <w:p w14:paraId="4546BAB2">
      <w:pPr>
        <w:keepNext w:val="0"/>
        <w:keepLines w:val="0"/>
        <w:pageBreakBefore w:val="0"/>
        <w:widowControl w:val="0"/>
        <w:kinsoku/>
        <w:wordWrap/>
        <w:overflowPunct/>
        <w:topLinePunct/>
        <w:autoSpaceDE/>
        <w:autoSpaceDN/>
        <w:bidi w:val="0"/>
        <w:adjustRightInd/>
        <w:snapToGrid/>
        <w:spacing w:line="460" w:lineRule="exact"/>
        <w:ind w:firstLine="3900" w:firstLineChars="13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法人代表（签字）：</w:t>
      </w:r>
    </w:p>
    <w:p w14:paraId="688743CB">
      <w:pPr>
        <w:keepNext w:val="0"/>
        <w:keepLines w:val="0"/>
        <w:pageBreakBefore w:val="0"/>
        <w:widowControl w:val="0"/>
        <w:kinsoku/>
        <w:wordWrap/>
        <w:overflowPunct/>
        <w:topLinePunct/>
        <w:autoSpaceDE/>
        <w:autoSpaceDN/>
        <w:bidi w:val="0"/>
        <w:adjustRightInd/>
        <w:snapToGrid/>
        <w:spacing w:line="460" w:lineRule="exact"/>
        <w:ind w:firstLine="4500" w:firstLineChars="1500"/>
        <w:textAlignment w:val="auto"/>
        <w:rPr>
          <w:sz w:val="30"/>
          <w:szCs w:val="30"/>
        </w:rPr>
      </w:pPr>
      <w:r>
        <w:rPr>
          <w:rFonts w:hint="eastAsia" w:ascii="Times New Roman" w:hAnsi="Times New Roman" w:eastAsia="仿宋_GB2312"/>
          <w:sz w:val="30"/>
          <w:szCs w:val="30"/>
        </w:rPr>
        <w:t xml:space="preserve">2025年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月</w:t>
      </w:r>
      <w:r>
        <w:rPr>
          <w:rFonts w:hint="eastAsia" w:ascii="Times New Roman" w:hAnsi="Times New Roman" w:eastAsia="仿宋_GB2312"/>
          <w:sz w:val="30"/>
          <w:szCs w:val="30"/>
          <w:lang w:val="en-US" w:eastAsia="zh-CN"/>
        </w:rPr>
        <w:t xml:space="preserve">  日</w:t>
      </w:r>
    </w:p>
    <w:p w14:paraId="2EA625A0"/>
    <w:p w14:paraId="5068D52D">
      <w:pPr>
        <w:pStyle w:val="11"/>
        <w:spacing w:line="600" w:lineRule="exact"/>
        <w:ind w:firstLine="0" w:firstLineChars="0"/>
        <w:jc w:val="both"/>
        <w:rPr>
          <w:rFonts w:hint="eastAsia" w:ascii="黑体" w:hAnsi="黑体" w:eastAsia="黑体" w:cs="黑体"/>
          <w:color w:val="000000"/>
          <w:spacing w:val="-11"/>
          <w:lang w:eastAsia="zh-CN"/>
        </w:rPr>
        <w:sectPr>
          <w:pgSz w:w="11906" w:h="16838"/>
          <w:pgMar w:top="2041" w:right="1417" w:bottom="1984" w:left="1474" w:header="851" w:footer="992" w:gutter="0"/>
          <w:cols w:space="425" w:num="1"/>
          <w:docGrid w:type="lines" w:linePitch="312" w:charSpace="0"/>
        </w:sectPr>
      </w:pPr>
    </w:p>
    <w:tbl>
      <w:tblPr>
        <w:tblStyle w:val="7"/>
        <w:tblW w:w="15150" w:type="dxa"/>
        <w:tblInd w:w="-1059" w:type="dxa"/>
        <w:tblLayout w:type="fixed"/>
        <w:tblCellMar>
          <w:top w:w="0" w:type="dxa"/>
          <w:left w:w="108" w:type="dxa"/>
          <w:bottom w:w="0" w:type="dxa"/>
          <w:right w:w="108" w:type="dxa"/>
        </w:tblCellMar>
      </w:tblPr>
      <w:tblGrid>
        <w:gridCol w:w="736"/>
        <w:gridCol w:w="1936"/>
        <w:gridCol w:w="1951"/>
        <w:gridCol w:w="2151"/>
        <w:gridCol w:w="1402"/>
        <w:gridCol w:w="1744"/>
        <w:gridCol w:w="1231"/>
        <w:gridCol w:w="1231"/>
        <w:gridCol w:w="1231"/>
        <w:gridCol w:w="1537"/>
      </w:tblGrid>
      <w:tr w14:paraId="5D369E6B">
        <w:tblPrEx>
          <w:tblCellMar>
            <w:top w:w="0" w:type="dxa"/>
            <w:left w:w="108" w:type="dxa"/>
            <w:bottom w:w="0" w:type="dxa"/>
            <w:right w:w="108" w:type="dxa"/>
          </w:tblCellMar>
        </w:tblPrEx>
        <w:trPr>
          <w:trHeight w:val="1455" w:hRule="atLeast"/>
        </w:trPr>
        <w:tc>
          <w:tcPr>
            <w:tcW w:w="15150" w:type="dxa"/>
            <w:gridSpan w:val="10"/>
            <w:tcBorders>
              <w:top w:val="nil"/>
              <w:left w:val="nil"/>
              <w:bottom w:val="nil"/>
              <w:right w:val="nil"/>
            </w:tcBorders>
            <w:shd w:val="clear" w:color="auto" w:fill="auto"/>
            <w:noWrap/>
            <w:vAlign w:val="center"/>
          </w:tcPr>
          <w:p w14:paraId="368D48C9">
            <w:pPr>
              <w:pStyle w:val="11"/>
              <w:spacing w:line="600" w:lineRule="exact"/>
              <w:ind w:firstLine="0" w:firstLineChars="0"/>
              <w:jc w:val="both"/>
              <w:rPr>
                <w:rFonts w:hint="eastAsia" w:ascii="黑体" w:hAnsi="黑体" w:eastAsia="黑体" w:cs="黑体"/>
                <w:color w:val="000000"/>
                <w:spacing w:val="-11"/>
                <w:lang w:eastAsia="zh-CN"/>
              </w:rPr>
            </w:pPr>
            <w:r>
              <w:rPr>
                <w:rFonts w:hint="eastAsia" w:ascii="黑体" w:hAnsi="黑体" w:eastAsia="黑体" w:cs="黑体"/>
                <w:color w:val="000000"/>
                <w:spacing w:val="-11"/>
                <w:lang w:eastAsia="zh-CN"/>
              </w:rPr>
              <w:t>附件</w:t>
            </w:r>
            <w:r>
              <w:rPr>
                <w:rFonts w:hint="eastAsia" w:ascii="黑体" w:hAnsi="黑体" w:eastAsia="黑体" w:cs="黑体"/>
                <w:color w:val="000000"/>
                <w:spacing w:val="-11"/>
                <w:lang w:val="en-US" w:eastAsia="zh-CN"/>
              </w:rPr>
              <w:t>5</w:t>
            </w:r>
          </w:p>
          <w:p w14:paraId="15581A68">
            <w:pPr>
              <w:widowControl/>
              <w:jc w:val="center"/>
              <w:textAlignment w:val="center"/>
              <w:rPr>
                <w:rFonts w:ascii="Times New Roman" w:hAnsi="Times New Roman"/>
                <w:color w:val="000000"/>
                <w:sz w:val="52"/>
                <w:szCs w:val="52"/>
              </w:rPr>
            </w:pPr>
            <w:r>
              <w:rPr>
                <w:rFonts w:ascii="Times New Roman" w:hAnsi="Times New Roman"/>
                <w:color w:val="000000"/>
                <w:kern w:val="0"/>
                <w:sz w:val="52"/>
                <w:szCs w:val="52"/>
                <w:lang w:bidi="ar"/>
              </w:rPr>
              <w:t>2025</w:t>
            </w:r>
            <w:r>
              <w:rPr>
                <w:rStyle w:val="12"/>
                <w:lang w:bidi="ar"/>
              </w:rPr>
              <w:t>年</w:t>
            </w:r>
            <w:r>
              <w:rPr>
                <w:rStyle w:val="12"/>
                <w:rFonts w:hint="eastAsia" w:eastAsia="方正小标宋简体"/>
                <w:lang w:eastAsia="zh-CN" w:bidi="ar"/>
              </w:rPr>
              <w:t>承德市</w:t>
            </w:r>
            <w:r>
              <w:rPr>
                <w:rStyle w:val="12"/>
                <w:lang w:bidi="ar"/>
              </w:rPr>
              <w:t>以旧换新活动报名单位登记表</w:t>
            </w:r>
          </w:p>
        </w:tc>
      </w:tr>
      <w:tr w14:paraId="3EB77AB2">
        <w:tblPrEx>
          <w:tblCellMar>
            <w:top w:w="0" w:type="dxa"/>
            <w:left w:w="108" w:type="dxa"/>
            <w:bottom w:w="0" w:type="dxa"/>
            <w:right w:w="108" w:type="dxa"/>
          </w:tblCellMar>
        </w:tblPrEx>
        <w:trPr>
          <w:trHeight w:val="588"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4E5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936" w:type="dxa"/>
            <w:vMerge w:val="restart"/>
            <w:tcBorders>
              <w:top w:val="single" w:color="000000" w:sz="4" w:space="0"/>
              <w:left w:val="single" w:color="000000" w:sz="4" w:space="0"/>
              <w:bottom w:val="single" w:color="000000" w:sz="4" w:space="0"/>
              <w:right w:val="nil"/>
            </w:tcBorders>
            <w:shd w:val="clear" w:color="auto" w:fill="auto"/>
            <w:noWrap/>
            <w:vAlign w:val="center"/>
          </w:tcPr>
          <w:p w14:paraId="54E9FEB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单位名称</w:t>
            </w:r>
          </w:p>
        </w:tc>
        <w:tc>
          <w:tcPr>
            <w:tcW w:w="1951" w:type="dxa"/>
            <w:tcBorders>
              <w:top w:val="single" w:color="000000" w:sz="4" w:space="0"/>
              <w:left w:val="single" w:color="000000" w:sz="4" w:space="0"/>
              <w:bottom w:val="nil"/>
              <w:right w:val="single" w:color="000000" w:sz="4" w:space="0"/>
            </w:tcBorders>
            <w:shd w:val="clear" w:color="auto" w:fill="auto"/>
            <w:noWrap/>
            <w:vAlign w:val="center"/>
          </w:tcPr>
          <w:p w14:paraId="21F83A9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企业性质</w:t>
            </w:r>
          </w:p>
        </w:tc>
        <w:tc>
          <w:tcPr>
            <w:tcW w:w="2151" w:type="dxa"/>
            <w:vMerge w:val="restart"/>
            <w:tcBorders>
              <w:top w:val="single" w:color="000000" w:sz="4" w:space="0"/>
              <w:left w:val="nil"/>
              <w:bottom w:val="single" w:color="000000" w:sz="4" w:space="0"/>
              <w:right w:val="single" w:color="000000" w:sz="4" w:space="0"/>
            </w:tcBorders>
            <w:shd w:val="clear" w:color="auto" w:fill="auto"/>
            <w:noWrap/>
            <w:vAlign w:val="center"/>
          </w:tcPr>
          <w:p w14:paraId="48F5AF7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统一社会信用代码</w:t>
            </w:r>
          </w:p>
        </w:tc>
        <w:tc>
          <w:tcPr>
            <w:tcW w:w="1402" w:type="dxa"/>
            <w:vMerge w:val="restart"/>
            <w:tcBorders>
              <w:top w:val="single" w:color="000000" w:sz="4" w:space="0"/>
              <w:left w:val="single" w:color="000000" w:sz="4" w:space="0"/>
              <w:bottom w:val="single" w:color="000000" w:sz="4" w:space="0"/>
              <w:right w:val="nil"/>
            </w:tcBorders>
            <w:shd w:val="clear" w:color="auto" w:fill="auto"/>
            <w:noWrap/>
            <w:vAlign w:val="center"/>
          </w:tcPr>
          <w:p w14:paraId="04F1FE7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联系人</w:t>
            </w:r>
          </w:p>
        </w:tc>
        <w:tc>
          <w:tcPr>
            <w:tcW w:w="1744" w:type="dxa"/>
            <w:tcBorders>
              <w:top w:val="single" w:color="000000" w:sz="4" w:space="0"/>
              <w:left w:val="single" w:color="000000" w:sz="4" w:space="0"/>
              <w:bottom w:val="nil"/>
              <w:right w:val="single" w:color="000000" w:sz="4" w:space="0"/>
            </w:tcBorders>
            <w:shd w:val="clear" w:color="auto" w:fill="auto"/>
            <w:noWrap/>
            <w:vAlign w:val="center"/>
          </w:tcPr>
          <w:p w14:paraId="23B0C20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联系电话</w:t>
            </w:r>
          </w:p>
        </w:tc>
        <w:tc>
          <w:tcPr>
            <w:tcW w:w="1231" w:type="dxa"/>
            <w:vMerge w:val="restart"/>
            <w:tcBorders>
              <w:top w:val="single" w:color="000000" w:sz="4" w:space="0"/>
              <w:left w:val="nil"/>
              <w:bottom w:val="single" w:color="000000" w:sz="4" w:space="0"/>
              <w:right w:val="nil"/>
            </w:tcBorders>
            <w:shd w:val="clear" w:color="auto" w:fill="auto"/>
            <w:noWrap/>
            <w:vAlign w:val="center"/>
          </w:tcPr>
          <w:p w14:paraId="6227F43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经营地址</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43B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产品类型</w:t>
            </w:r>
          </w:p>
        </w:tc>
        <w:tc>
          <w:tcPr>
            <w:tcW w:w="1231" w:type="dxa"/>
            <w:tcBorders>
              <w:top w:val="single" w:color="000000" w:sz="4" w:space="0"/>
              <w:left w:val="nil"/>
              <w:bottom w:val="nil"/>
              <w:right w:val="single" w:color="000000" w:sz="4" w:space="0"/>
            </w:tcBorders>
            <w:shd w:val="clear" w:color="auto" w:fill="auto"/>
            <w:noWrap/>
            <w:vAlign w:val="center"/>
          </w:tcPr>
          <w:p w14:paraId="745610D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年销售额</w:t>
            </w:r>
          </w:p>
        </w:tc>
        <w:tc>
          <w:tcPr>
            <w:tcW w:w="15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E9B658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报名时间</w:t>
            </w:r>
          </w:p>
        </w:tc>
      </w:tr>
      <w:tr w14:paraId="46CF3BAC">
        <w:tblPrEx>
          <w:tblCellMar>
            <w:top w:w="0" w:type="dxa"/>
            <w:left w:w="108" w:type="dxa"/>
            <w:bottom w:w="0" w:type="dxa"/>
            <w:right w:w="108" w:type="dxa"/>
          </w:tblCellMar>
        </w:tblPrEx>
        <w:trPr>
          <w:trHeight w:val="588"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5558">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8"/>
                <w:szCs w:val="28"/>
              </w:rPr>
            </w:pPr>
          </w:p>
        </w:tc>
        <w:tc>
          <w:tcPr>
            <w:tcW w:w="193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39225B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8"/>
                <w:szCs w:val="28"/>
              </w:rPr>
            </w:pPr>
          </w:p>
        </w:tc>
        <w:tc>
          <w:tcPr>
            <w:tcW w:w="1951" w:type="dxa"/>
            <w:tcBorders>
              <w:top w:val="nil"/>
              <w:left w:val="single" w:color="000000" w:sz="4" w:space="0"/>
              <w:bottom w:val="single" w:color="000000" w:sz="4" w:space="0"/>
              <w:right w:val="single" w:color="000000" w:sz="4" w:space="0"/>
            </w:tcBorders>
            <w:shd w:val="clear" w:color="auto" w:fill="auto"/>
            <w:noWrap/>
            <w:vAlign w:val="center"/>
          </w:tcPr>
          <w:p w14:paraId="2B76F39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（法人/个体户）</w:t>
            </w:r>
          </w:p>
        </w:tc>
        <w:tc>
          <w:tcPr>
            <w:tcW w:w="21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7FE17D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4"/>
              </w:rPr>
            </w:pPr>
          </w:p>
        </w:tc>
        <w:tc>
          <w:tcPr>
            <w:tcW w:w="1402"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C51D7B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4"/>
              </w:rPr>
            </w:pPr>
          </w:p>
        </w:tc>
        <w:tc>
          <w:tcPr>
            <w:tcW w:w="1744" w:type="dxa"/>
            <w:tcBorders>
              <w:top w:val="nil"/>
              <w:left w:val="single" w:color="000000" w:sz="4" w:space="0"/>
              <w:bottom w:val="single" w:color="000000" w:sz="4" w:space="0"/>
              <w:right w:val="single" w:color="000000" w:sz="4" w:space="0"/>
            </w:tcBorders>
            <w:shd w:val="clear" w:color="auto" w:fill="auto"/>
            <w:noWrap/>
            <w:vAlign w:val="center"/>
          </w:tcPr>
          <w:p w14:paraId="2F457E3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（手机号码）</w:t>
            </w:r>
          </w:p>
        </w:tc>
        <w:tc>
          <w:tcPr>
            <w:tcW w:w="1231" w:type="dxa"/>
            <w:vMerge w:val="continue"/>
            <w:tcBorders>
              <w:top w:val="single" w:color="000000" w:sz="4" w:space="0"/>
              <w:left w:val="nil"/>
              <w:bottom w:val="single" w:color="000000" w:sz="4" w:space="0"/>
              <w:right w:val="nil"/>
            </w:tcBorders>
            <w:shd w:val="clear" w:color="auto" w:fill="auto"/>
            <w:noWrap/>
            <w:vAlign w:val="center"/>
          </w:tcPr>
          <w:p w14:paraId="7ABCA54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708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4"/>
              </w:rPr>
            </w:pPr>
          </w:p>
        </w:tc>
        <w:tc>
          <w:tcPr>
            <w:tcW w:w="1231" w:type="dxa"/>
            <w:tcBorders>
              <w:top w:val="nil"/>
              <w:left w:val="nil"/>
              <w:bottom w:val="single" w:color="000000" w:sz="4" w:space="0"/>
              <w:right w:val="single" w:color="000000" w:sz="4" w:space="0"/>
            </w:tcBorders>
            <w:shd w:val="clear" w:color="auto" w:fill="auto"/>
            <w:noWrap/>
            <w:vAlign w:val="center"/>
          </w:tcPr>
          <w:p w14:paraId="3456A7C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（万元）</w:t>
            </w:r>
          </w:p>
        </w:tc>
        <w:tc>
          <w:tcPr>
            <w:tcW w:w="15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64EA79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8"/>
                <w:szCs w:val="28"/>
              </w:rPr>
            </w:pPr>
          </w:p>
        </w:tc>
      </w:tr>
      <w:tr w14:paraId="2B819324">
        <w:tblPrEx>
          <w:tblCellMar>
            <w:top w:w="0" w:type="dxa"/>
            <w:left w:w="108" w:type="dxa"/>
            <w:bottom w:w="0" w:type="dxa"/>
            <w:right w:w="108" w:type="dxa"/>
          </w:tblCellMar>
        </w:tblPrEx>
        <w:trPr>
          <w:trHeight w:val="106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E0B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0C0E">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951" w:type="dxa"/>
            <w:tcBorders>
              <w:top w:val="nil"/>
              <w:left w:val="single" w:color="000000" w:sz="4" w:space="0"/>
              <w:bottom w:val="single" w:color="000000" w:sz="4" w:space="0"/>
              <w:right w:val="single" w:color="000000" w:sz="4" w:space="0"/>
            </w:tcBorders>
            <w:shd w:val="clear" w:color="auto" w:fill="auto"/>
            <w:noWrap/>
            <w:vAlign w:val="center"/>
          </w:tcPr>
          <w:p w14:paraId="4B7F3FAB">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E27F">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ACC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744" w:type="dxa"/>
            <w:tcBorders>
              <w:top w:val="nil"/>
              <w:left w:val="single" w:color="000000" w:sz="4" w:space="0"/>
              <w:bottom w:val="single" w:color="000000" w:sz="4" w:space="0"/>
              <w:right w:val="single" w:color="000000" w:sz="4" w:space="0"/>
            </w:tcBorders>
            <w:shd w:val="clear" w:color="auto" w:fill="auto"/>
            <w:noWrap/>
            <w:vAlign w:val="center"/>
          </w:tcPr>
          <w:p w14:paraId="4AC64C7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A746">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231" w:type="dxa"/>
            <w:tcBorders>
              <w:top w:val="nil"/>
              <w:left w:val="single" w:color="000000" w:sz="4" w:space="0"/>
              <w:bottom w:val="single" w:color="000000" w:sz="4" w:space="0"/>
              <w:right w:val="single" w:color="000000" w:sz="4" w:space="0"/>
            </w:tcBorders>
            <w:shd w:val="clear" w:color="auto" w:fill="auto"/>
            <w:noWrap/>
            <w:vAlign w:val="center"/>
          </w:tcPr>
          <w:p w14:paraId="3C153FF1">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nil"/>
              <w:left w:val="single" w:color="000000" w:sz="4" w:space="0"/>
              <w:bottom w:val="single" w:color="000000" w:sz="4" w:space="0"/>
              <w:right w:val="single" w:color="000000" w:sz="4" w:space="0"/>
            </w:tcBorders>
            <w:shd w:val="clear" w:color="auto" w:fill="auto"/>
            <w:noWrap/>
            <w:vAlign w:val="center"/>
          </w:tcPr>
          <w:p w14:paraId="5B59196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63D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r>
      <w:tr w14:paraId="1FD96739">
        <w:tblPrEx>
          <w:tblCellMar>
            <w:top w:w="0" w:type="dxa"/>
            <w:left w:w="108" w:type="dxa"/>
            <w:bottom w:w="0" w:type="dxa"/>
            <w:right w:w="108" w:type="dxa"/>
          </w:tblCellMar>
        </w:tblPrEx>
        <w:trPr>
          <w:trHeight w:val="106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D78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0925">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D642">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0F81">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CF97">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FF2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308E">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340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67A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669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r>
      <w:tr w14:paraId="554CD0DB">
        <w:tblPrEx>
          <w:tblCellMar>
            <w:top w:w="0" w:type="dxa"/>
            <w:left w:w="108" w:type="dxa"/>
            <w:bottom w:w="0" w:type="dxa"/>
            <w:right w:w="108" w:type="dxa"/>
          </w:tblCellMar>
        </w:tblPrEx>
        <w:trPr>
          <w:trHeight w:val="107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81E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8C46">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D1A8">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B9CC">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7B71">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6936">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492B">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A0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D134">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D4A">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r>
    </w:tbl>
    <w:p w14:paraId="6243C3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sz w:val="32"/>
          <w:szCs w:val="32"/>
          <w:lang w:val="en-US" w:eastAsia="zh-CN"/>
        </w:rPr>
        <w:sectPr>
          <w:pgSz w:w="16838" w:h="11906" w:orient="landscape"/>
          <w:pgMar w:top="1474" w:right="2041" w:bottom="1417" w:left="1984" w:header="851" w:footer="992" w:gutter="0"/>
          <w:cols w:space="0" w:num="1"/>
          <w:rtlGutter w:val="0"/>
          <w:docGrid w:type="lines" w:linePitch="321" w:charSpace="0"/>
        </w:sectPr>
      </w:pPr>
      <w:r>
        <w:rPr>
          <w:rFonts w:hint="eastAsia" w:ascii="Times New Roman" w:hAnsi="Times New Roman" w:eastAsia="仿宋_GB2312" w:cs="Times New Roman"/>
          <w:sz w:val="32"/>
          <w:szCs w:val="32"/>
          <w:lang w:val="en-US" w:eastAsia="zh-CN"/>
        </w:rPr>
        <w:t>备注：家装、电动自行车承办企业分别填写</w:t>
      </w:r>
    </w:p>
    <w:p w14:paraId="65353F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sz w:val="32"/>
          <w:szCs w:val="32"/>
          <w:lang w:eastAsia="zh-CN"/>
        </w:rPr>
      </w:pPr>
    </w:p>
    <w:sectPr>
      <w:pgSz w:w="11906" w:h="16838"/>
      <w:pgMar w:top="2041" w:right="141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28E7BA-51FA-422C-9072-F9877F990BB0}"/>
  </w:font>
  <w:font w:name="Courier New">
    <w:panose1 w:val="02070309020205020404"/>
    <w:charset w:val="01"/>
    <w:family w:val="modern"/>
    <w:pitch w:val="default"/>
    <w:sig w:usb0="E0002AFF" w:usb1="C0007843" w:usb2="00000009" w:usb3="00000000" w:csb0="400001FF" w:csb1="FFFF0000"/>
    <w:embedRegular r:id="rId2" w:fontKey="{1AA9A57D-6D9D-4726-83EE-2E4DB5A2CD4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AC827AC4-3EAF-4307-A25E-280694D8BC32}"/>
  </w:font>
  <w:font w:name="文星仿宋">
    <w:altName w:val="方正仿宋_GBK"/>
    <w:panose1 w:val="02010609000101010101"/>
    <w:charset w:val="86"/>
    <w:family w:val="auto"/>
    <w:pitch w:val="default"/>
    <w:sig w:usb0="00000000" w:usb1="00000000" w:usb2="00000000" w:usb3="00000000" w:csb0="00040000" w:csb1="00000000"/>
    <w:embedRegular r:id="rId4" w:fontKey="{3142D649-882E-4748-8F8E-D00C4D6C25E1}"/>
  </w:font>
  <w:font w:name="方正仿宋_GBK">
    <w:panose1 w:val="02000000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5" w:fontKey="{C18EE2E5-EC3D-451A-AB54-2C86AD28F346}"/>
  </w:font>
  <w:font w:name="方正小标宋_GBK">
    <w:panose1 w:val="02000000000000000000"/>
    <w:charset w:val="86"/>
    <w:family w:val="auto"/>
    <w:pitch w:val="default"/>
    <w:sig w:usb0="00000001" w:usb1="080E0000" w:usb2="00000000" w:usb3="00000000" w:csb0="00040000" w:csb1="00000000"/>
    <w:embedRegular r:id="rId6" w:fontKey="{08601FA9-6AE8-4876-8A19-267E73DA32F4}"/>
  </w:font>
  <w:font w:name="Microsoft YaHei UI">
    <w:panose1 w:val="020B0503020204020204"/>
    <w:charset w:val="86"/>
    <w:family w:val="auto"/>
    <w:pitch w:val="default"/>
    <w:sig w:usb0="80000287" w:usb1="2ACF3C50" w:usb2="00000016" w:usb3="00000000" w:csb0="0004001F" w:csb1="00000000"/>
    <w:embedRegular r:id="rId7" w:fontKey="{9DFC4989-9013-497F-86BD-229121544BF7}"/>
  </w:font>
  <w:font w:name="国标黑体">
    <w:altName w:val="黑体"/>
    <w:panose1 w:val="02000500000000000000"/>
    <w:charset w:val="86"/>
    <w:family w:val="auto"/>
    <w:pitch w:val="default"/>
    <w:sig w:usb0="00000000" w:usb1="00000000" w:usb2="00000000" w:usb3="00000000" w:csb0="00040000" w:csb1="00000000"/>
    <w:embedRegular r:id="rId8" w:fontKey="{B8344DD2-A5B1-42F2-853B-257E6D8064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1E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8A0A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A8A0A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2968"/>
    <w:rsid w:val="010F3B4F"/>
    <w:rsid w:val="01390BCC"/>
    <w:rsid w:val="01502226"/>
    <w:rsid w:val="037B371D"/>
    <w:rsid w:val="06E65352"/>
    <w:rsid w:val="0B071748"/>
    <w:rsid w:val="13D86F0D"/>
    <w:rsid w:val="14C8347B"/>
    <w:rsid w:val="16846935"/>
    <w:rsid w:val="17B2451A"/>
    <w:rsid w:val="17F673BF"/>
    <w:rsid w:val="1CD04682"/>
    <w:rsid w:val="1D36146E"/>
    <w:rsid w:val="1FA01F84"/>
    <w:rsid w:val="27A40BE5"/>
    <w:rsid w:val="28DF2A79"/>
    <w:rsid w:val="2B2F07C6"/>
    <w:rsid w:val="2C4B4825"/>
    <w:rsid w:val="2DD6761F"/>
    <w:rsid w:val="311F0FAA"/>
    <w:rsid w:val="355C48AD"/>
    <w:rsid w:val="37FD398B"/>
    <w:rsid w:val="389C3213"/>
    <w:rsid w:val="3BB80364"/>
    <w:rsid w:val="416E7E42"/>
    <w:rsid w:val="431C182F"/>
    <w:rsid w:val="43A713E9"/>
    <w:rsid w:val="448259B3"/>
    <w:rsid w:val="45B93656"/>
    <w:rsid w:val="45E00BE3"/>
    <w:rsid w:val="4B521983"/>
    <w:rsid w:val="4E487F99"/>
    <w:rsid w:val="4F5A7C58"/>
    <w:rsid w:val="529671F9"/>
    <w:rsid w:val="581F1A3E"/>
    <w:rsid w:val="5BBB382C"/>
    <w:rsid w:val="5D2418A5"/>
    <w:rsid w:val="5D700646"/>
    <w:rsid w:val="5D83481E"/>
    <w:rsid w:val="5E7035DB"/>
    <w:rsid w:val="5F9E593F"/>
    <w:rsid w:val="5FBA4760"/>
    <w:rsid w:val="613D23D3"/>
    <w:rsid w:val="61DC25A7"/>
    <w:rsid w:val="61FC4B9F"/>
    <w:rsid w:val="62553134"/>
    <w:rsid w:val="63A96660"/>
    <w:rsid w:val="65902C9D"/>
    <w:rsid w:val="666B22F3"/>
    <w:rsid w:val="66C33EDD"/>
    <w:rsid w:val="694F5ED5"/>
    <w:rsid w:val="6F3911E0"/>
    <w:rsid w:val="6F95081D"/>
    <w:rsid w:val="70BD374B"/>
    <w:rsid w:val="70D8424A"/>
    <w:rsid w:val="70F44A85"/>
    <w:rsid w:val="711C2B67"/>
    <w:rsid w:val="764A5A81"/>
    <w:rsid w:val="7A5E7D4D"/>
    <w:rsid w:val="7B4574B3"/>
    <w:rsid w:val="7C266648"/>
    <w:rsid w:val="7E12157A"/>
    <w:rsid w:val="7FCD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suppressAutoHyphens/>
      <w:bidi w:val="0"/>
      <w:spacing w:line="520" w:lineRule="exact"/>
      <w:jc w:val="both"/>
    </w:pPr>
    <w:rPr>
      <w:rFonts w:ascii="宋体" w:hAnsi="Courier New" w:eastAsia="仿宋_GB2312" w:cs="文星仿宋"/>
      <w:color w:val="auto"/>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1">
    <w:name w:val="_Style 1"/>
    <w:qFormat/>
    <w:uiPriority w:val="0"/>
    <w:pPr>
      <w:ind w:firstLine="200" w:firstLineChars="200"/>
    </w:pPr>
    <w:rPr>
      <w:rFonts w:ascii="宋体" w:hAnsi="宋体" w:eastAsia="仿宋_GB2312" w:cs="Times New Roman"/>
      <w:sz w:val="32"/>
      <w:szCs w:val="32"/>
      <w:lang w:val="en-US" w:eastAsia="en-US" w:bidi="en-US"/>
    </w:rPr>
  </w:style>
  <w:style w:type="character" w:customStyle="1" w:styleId="12">
    <w:name w:val="font41"/>
    <w:basedOn w:val="8"/>
    <w:qFormat/>
    <w:uiPriority w:val="0"/>
    <w:rPr>
      <w:rFonts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3540</Words>
  <Characters>3700</Characters>
  <Lines>0</Lines>
  <Paragraphs>0</Paragraphs>
  <TotalTime>2</TotalTime>
  <ScaleCrop>false</ScaleCrop>
  <LinksUpToDate>false</LinksUpToDate>
  <CharactersWithSpaces>4082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2024-12-23T01:57:00Z</dcterms:created>
  <dc:creator>Administrator</dc:creator>
  <cp:lastModifiedBy>苏东岳</cp:lastModifiedBy>
  <cp:lastPrinted>2025-02-17T08:58:23Z</cp:lastPrinted>
  <dcterms:modified xsi:type="dcterms:W3CDTF">2025-02-17T08:59:02Z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94A5B6D09FA5480C9F2C7DA3B0250DE1_13</vt:lpwstr>
  </property>
  <property fmtid="{D5CDD505-2E9C-101B-9397-08002B2CF9AE}" pid="4" name="KSOTemplateDocerSaveRecord">
    <vt:lpwstr>eyJoZGlkIjoiMTY2OGZjZGU0ZjdiYWFiY2E5YzBlNTFiMGQzMTAxMTEiLCJ1c2VySWQiOiIxNjY5ODMyNTk4In0=</vt:lpwstr>
  </property>
</Properties>
</file>