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CA529A" w:rsidRDefault="00BE314F">
      <w:pPr>
        <w:adjustRightInd w:val="0"/>
        <w:snapToGrid w:val="0"/>
        <w:spacing w:line="594" w:lineRule="exact"/>
        <w:jc w:val="center"/>
        <w:rPr>
          <w:rFonts w:asciiTheme="majorEastAsia" w:eastAsiaTheme="majorEastAsia" w:hAnsiTheme="majorEastAsia"/>
          <w:sz w:val="32"/>
          <w:szCs w:val="32"/>
        </w:rPr>
      </w:pPr>
      <w:bookmarkStart w:id="0" w:name="_GoBack"/>
      <w:r w:rsidRPr="00CA529A">
        <w:rPr>
          <w:rFonts w:asciiTheme="majorEastAsia" w:eastAsiaTheme="majorEastAsia" w:hAnsiTheme="majorEastAsia" w:hint="eastAsia"/>
          <w:sz w:val="32"/>
          <w:szCs w:val="32"/>
        </w:rPr>
        <w:t>2023</w:t>
      </w:r>
      <w:r w:rsidR="000B4641" w:rsidRPr="00CA529A">
        <w:rPr>
          <w:rFonts w:asciiTheme="majorEastAsia" w:eastAsiaTheme="majorEastAsia" w:hAnsiTheme="majorEastAsia" w:hint="eastAsia"/>
          <w:sz w:val="32"/>
          <w:szCs w:val="32"/>
        </w:rPr>
        <w:t>年</w:t>
      </w:r>
      <w:r w:rsidR="00B46026" w:rsidRPr="00CA529A">
        <w:rPr>
          <w:rFonts w:asciiTheme="majorEastAsia" w:eastAsiaTheme="majorEastAsia" w:hAnsiTheme="majorEastAsia" w:hint="eastAsia"/>
          <w:sz w:val="32"/>
          <w:szCs w:val="32"/>
        </w:rPr>
        <w:t>承德市</w:t>
      </w:r>
      <w:r w:rsidR="00936124" w:rsidRPr="00CA529A">
        <w:rPr>
          <w:rFonts w:asciiTheme="majorEastAsia" w:eastAsiaTheme="majorEastAsia" w:hAnsiTheme="majorEastAsia" w:hint="eastAsia"/>
          <w:sz w:val="32"/>
          <w:szCs w:val="32"/>
        </w:rPr>
        <w:t>车用尿素水溶液</w:t>
      </w:r>
      <w:r w:rsidRPr="00CA529A">
        <w:rPr>
          <w:rFonts w:asciiTheme="majorEastAsia" w:eastAsiaTheme="majorEastAsia" w:hAnsiTheme="majorEastAsia" w:hint="eastAsia"/>
          <w:sz w:val="32"/>
          <w:szCs w:val="32"/>
        </w:rPr>
        <w:t>产品质量监督抽查实施细则</w:t>
      </w:r>
    </w:p>
    <w:bookmarkEnd w:id="0"/>
    <w:p w:rsidR="00D44628" w:rsidRDefault="00BE314F" w:rsidP="004D38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D44628" w:rsidRDefault="00BE314F">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hAnsi="宋体" w:cs="宋体" w:hint="eastAsia"/>
          <w:szCs w:val="21"/>
        </w:rPr>
        <w:t>。</w:t>
      </w:r>
    </w:p>
    <w:p w:rsidR="00D44628" w:rsidRPr="006028EA" w:rsidRDefault="006028EA" w:rsidP="006028EA">
      <w:pPr>
        <w:adjustRightInd w:val="0"/>
        <w:snapToGrid w:val="0"/>
        <w:spacing w:line="440" w:lineRule="exact"/>
        <w:ind w:firstLineChars="200" w:firstLine="420"/>
        <w:rPr>
          <w:color w:val="000000"/>
          <w:szCs w:val="21"/>
        </w:rPr>
      </w:pPr>
      <w:r>
        <w:rPr>
          <w:rFonts w:hint="eastAsia"/>
          <w:color w:val="000000"/>
          <w:szCs w:val="21"/>
        </w:rPr>
        <w:t>每批次产品抽取样品不少于</w:t>
      </w:r>
      <w:r>
        <w:rPr>
          <w:rFonts w:hint="eastAsia"/>
          <w:color w:val="000000"/>
          <w:szCs w:val="21"/>
        </w:rPr>
        <w:t>2</w:t>
      </w:r>
      <w:r>
        <w:rPr>
          <w:rFonts w:hint="eastAsia"/>
          <w:color w:val="000000"/>
          <w:szCs w:val="21"/>
        </w:rPr>
        <w:t>个独立包装、总量不小于</w:t>
      </w:r>
      <w:r>
        <w:rPr>
          <w:rFonts w:hint="eastAsia"/>
          <w:color w:val="000000"/>
          <w:szCs w:val="21"/>
        </w:rPr>
        <w:t>4L</w:t>
      </w:r>
      <w:r>
        <w:rPr>
          <w:rFonts w:hint="eastAsia"/>
          <w:color w:val="000000"/>
          <w:szCs w:val="21"/>
        </w:rPr>
        <w:t>的样品，其中一半作为检验样品、一半作为备用样品。</w:t>
      </w:r>
    </w:p>
    <w:p w:rsidR="00D44628" w:rsidRDefault="00BE314F" w:rsidP="004D38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A8331F" w:rsidTr="00B611F1">
        <w:trPr>
          <w:cantSplit/>
          <w:trHeight w:val="304"/>
          <w:tblHeader/>
          <w:jc w:val="center"/>
        </w:trPr>
        <w:tc>
          <w:tcPr>
            <w:tcW w:w="61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B611F1" w:rsidTr="006028EA">
        <w:trPr>
          <w:cantSplit/>
          <w:trHeight w:val="725"/>
          <w:tblHeader/>
          <w:jc w:val="center"/>
        </w:trPr>
        <w:tc>
          <w:tcPr>
            <w:tcW w:w="612" w:type="pct"/>
            <w:vAlign w:val="center"/>
          </w:tcPr>
          <w:p w:rsidR="00B611F1" w:rsidRDefault="00B611F1"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Align w:val="center"/>
          </w:tcPr>
          <w:p w:rsidR="00B611F1" w:rsidRPr="00CA529A" w:rsidRDefault="006028EA" w:rsidP="006028EA">
            <w:pPr>
              <w:snapToGrid w:val="0"/>
              <w:rPr>
                <w:color w:val="000000"/>
                <w:szCs w:val="21"/>
              </w:rPr>
            </w:pPr>
            <w:r w:rsidRPr="00CA529A">
              <w:rPr>
                <w:rFonts w:hint="eastAsia"/>
                <w:color w:val="000000"/>
                <w:szCs w:val="21"/>
              </w:rPr>
              <w:t>车用尿素水溶液</w:t>
            </w:r>
          </w:p>
        </w:tc>
        <w:tc>
          <w:tcPr>
            <w:tcW w:w="1302" w:type="pct"/>
            <w:vAlign w:val="center"/>
          </w:tcPr>
          <w:p w:rsidR="00B611F1" w:rsidRPr="00CA529A" w:rsidRDefault="006028EA" w:rsidP="006028EA">
            <w:pPr>
              <w:adjustRightInd w:val="0"/>
              <w:snapToGrid w:val="0"/>
              <w:spacing w:line="300" w:lineRule="exact"/>
              <w:rPr>
                <w:color w:val="000000"/>
                <w:szCs w:val="21"/>
              </w:rPr>
            </w:pPr>
            <w:r w:rsidRPr="00CA529A">
              <w:rPr>
                <w:color w:val="000000"/>
                <w:szCs w:val="21"/>
              </w:rPr>
              <w:t>GB 29518-2013</w:t>
            </w:r>
          </w:p>
        </w:tc>
        <w:tc>
          <w:tcPr>
            <w:tcW w:w="1680" w:type="pct"/>
            <w:vAlign w:val="center"/>
          </w:tcPr>
          <w:p w:rsidR="00B611F1" w:rsidRPr="00CA529A" w:rsidRDefault="006028EA" w:rsidP="006028EA">
            <w:pPr>
              <w:adjustRightInd w:val="0"/>
              <w:snapToGrid w:val="0"/>
              <w:spacing w:line="300" w:lineRule="exact"/>
              <w:rPr>
                <w:color w:val="000000"/>
                <w:szCs w:val="21"/>
              </w:rPr>
            </w:pPr>
            <w:r w:rsidRPr="00CA529A">
              <w:rPr>
                <w:rFonts w:hint="eastAsia"/>
                <w:color w:val="000000"/>
                <w:szCs w:val="21"/>
              </w:rPr>
              <w:t>《柴油发动机氮氧化物还原剂</w:t>
            </w:r>
            <w:r w:rsidRPr="00CA529A">
              <w:rPr>
                <w:rFonts w:hint="eastAsia"/>
                <w:color w:val="000000"/>
                <w:szCs w:val="21"/>
              </w:rPr>
              <w:t xml:space="preserve"> </w:t>
            </w:r>
            <w:r w:rsidRPr="00CA529A">
              <w:rPr>
                <w:rFonts w:hint="eastAsia"/>
                <w:color w:val="000000"/>
                <w:szCs w:val="21"/>
              </w:rPr>
              <w:t>尿素水溶液（</w:t>
            </w:r>
            <w:r w:rsidRPr="00CA529A">
              <w:rPr>
                <w:rFonts w:hint="eastAsia"/>
                <w:color w:val="000000"/>
                <w:szCs w:val="21"/>
              </w:rPr>
              <w:t>AUS 32</w:t>
            </w:r>
            <w:r w:rsidRPr="00CA529A">
              <w:rPr>
                <w:rFonts w:hint="eastAsia"/>
                <w:color w:val="000000"/>
                <w:szCs w:val="21"/>
              </w:rPr>
              <w:t>）》</w:t>
            </w:r>
          </w:p>
        </w:tc>
      </w:tr>
    </w:tbl>
    <w:p w:rsidR="00D44628" w:rsidRDefault="00BE314F" w:rsidP="004D38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tbl>
      <w:tblPr>
        <w:tblStyle w:val="a8"/>
        <w:tblW w:w="0" w:type="auto"/>
        <w:tblLayout w:type="fixed"/>
        <w:tblLook w:val="04A0"/>
      </w:tblPr>
      <w:tblGrid>
        <w:gridCol w:w="3794"/>
        <w:gridCol w:w="4252"/>
      </w:tblGrid>
      <w:tr w:rsidR="004B3820" w:rsidTr="004B3820">
        <w:trPr>
          <w:trHeight w:val="364"/>
        </w:trPr>
        <w:tc>
          <w:tcPr>
            <w:tcW w:w="3794"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bCs/>
                <w:color w:val="000000"/>
                <w:szCs w:val="21"/>
              </w:rPr>
              <w:t>检验项目</w:t>
            </w:r>
          </w:p>
        </w:tc>
        <w:tc>
          <w:tcPr>
            <w:tcW w:w="4252"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hint="eastAsia"/>
                <w:szCs w:val="21"/>
              </w:rPr>
              <w:t>检验标准依据</w:t>
            </w:r>
          </w:p>
        </w:tc>
      </w:tr>
      <w:tr w:rsidR="006028EA" w:rsidRPr="006028EA" w:rsidTr="004B3820">
        <w:trPr>
          <w:trHeight w:val="412"/>
        </w:trPr>
        <w:tc>
          <w:tcPr>
            <w:tcW w:w="3794" w:type="dxa"/>
            <w:vAlign w:val="center"/>
          </w:tcPr>
          <w:p w:rsidR="006028EA" w:rsidRPr="00CA529A" w:rsidRDefault="006028EA" w:rsidP="00325B1E">
            <w:pPr>
              <w:spacing w:before="120"/>
              <w:jc w:val="center"/>
              <w:rPr>
                <w:color w:val="000000"/>
                <w:szCs w:val="21"/>
              </w:rPr>
            </w:pPr>
            <w:r w:rsidRPr="00CA529A">
              <w:rPr>
                <w:rFonts w:hint="eastAsia"/>
                <w:color w:val="000000"/>
                <w:szCs w:val="21"/>
              </w:rPr>
              <w:t>尿素含量（质量分数）</w:t>
            </w:r>
          </w:p>
        </w:tc>
        <w:tc>
          <w:tcPr>
            <w:tcW w:w="4252" w:type="dxa"/>
            <w:vAlign w:val="center"/>
          </w:tcPr>
          <w:p w:rsidR="006028EA" w:rsidRPr="00CA529A" w:rsidRDefault="006028EA" w:rsidP="00325B1E">
            <w:pPr>
              <w:spacing w:before="120"/>
              <w:jc w:val="center"/>
              <w:rPr>
                <w:color w:val="000000"/>
                <w:szCs w:val="21"/>
              </w:rPr>
            </w:pPr>
            <w:r w:rsidRPr="00CA529A">
              <w:rPr>
                <w:rFonts w:hint="eastAsia"/>
                <w:color w:val="000000"/>
                <w:szCs w:val="21"/>
              </w:rPr>
              <w:t>GB 29518-2013</w:t>
            </w:r>
            <w:r w:rsidRPr="00CA529A">
              <w:rPr>
                <w:rFonts w:hint="eastAsia"/>
                <w:color w:val="000000"/>
                <w:szCs w:val="21"/>
              </w:rPr>
              <w:t>附录</w:t>
            </w:r>
            <w:r w:rsidRPr="00CA529A">
              <w:rPr>
                <w:rFonts w:hint="eastAsia"/>
                <w:color w:val="000000"/>
                <w:szCs w:val="21"/>
              </w:rPr>
              <w:t>A</w:t>
            </w:r>
          </w:p>
        </w:tc>
      </w:tr>
      <w:tr w:rsidR="006028EA" w:rsidRPr="006028EA" w:rsidTr="004B3820">
        <w:tc>
          <w:tcPr>
            <w:tcW w:w="3794" w:type="dxa"/>
            <w:vAlign w:val="center"/>
          </w:tcPr>
          <w:p w:rsidR="006028EA" w:rsidRPr="00CA529A" w:rsidRDefault="006028EA" w:rsidP="00325B1E">
            <w:pPr>
              <w:spacing w:before="120"/>
              <w:jc w:val="center"/>
              <w:rPr>
                <w:color w:val="000000"/>
                <w:szCs w:val="21"/>
              </w:rPr>
            </w:pPr>
            <w:r w:rsidRPr="00CA529A">
              <w:rPr>
                <w:rFonts w:hint="eastAsia"/>
                <w:color w:val="000000"/>
                <w:szCs w:val="21"/>
              </w:rPr>
              <w:t>折光率</w:t>
            </w:r>
            <w:r w:rsidRPr="00CA529A">
              <w:rPr>
                <w:rFonts w:hint="eastAsia"/>
                <w:color w:val="000000"/>
                <w:szCs w:val="21"/>
              </w:rPr>
              <w:t>20nD</w:t>
            </w:r>
          </w:p>
        </w:tc>
        <w:tc>
          <w:tcPr>
            <w:tcW w:w="4252" w:type="dxa"/>
            <w:vAlign w:val="center"/>
          </w:tcPr>
          <w:p w:rsidR="006028EA" w:rsidRPr="00CA529A" w:rsidRDefault="006028EA" w:rsidP="00325B1E">
            <w:pPr>
              <w:spacing w:before="120"/>
              <w:jc w:val="center"/>
              <w:rPr>
                <w:color w:val="000000"/>
                <w:szCs w:val="21"/>
              </w:rPr>
            </w:pPr>
            <w:r w:rsidRPr="00CA529A">
              <w:rPr>
                <w:rFonts w:hint="eastAsia"/>
                <w:color w:val="000000"/>
                <w:szCs w:val="21"/>
              </w:rPr>
              <w:t>GB/T 614-2021</w:t>
            </w:r>
          </w:p>
        </w:tc>
      </w:tr>
      <w:tr w:rsidR="006028EA" w:rsidRPr="006028EA" w:rsidTr="004B3820">
        <w:tc>
          <w:tcPr>
            <w:tcW w:w="3794" w:type="dxa"/>
            <w:vAlign w:val="center"/>
          </w:tcPr>
          <w:p w:rsidR="006028EA" w:rsidRPr="00CA529A" w:rsidRDefault="006028EA" w:rsidP="00325B1E">
            <w:pPr>
              <w:adjustRightInd w:val="0"/>
              <w:snapToGrid w:val="0"/>
              <w:jc w:val="center"/>
              <w:rPr>
                <w:color w:val="000000"/>
                <w:szCs w:val="21"/>
              </w:rPr>
            </w:pPr>
            <w:r w:rsidRPr="00CA529A">
              <w:rPr>
                <w:rFonts w:hint="eastAsia"/>
                <w:color w:val="000000"/>
                <w:szCs w:val="21"/>
              </w:rPr>
              <w:t>密度（</w:t>
            </w:r>
            <w:r w:rsidRPr="00CA529A">
              <w:rPr>
                <w:rFonts w:hint="eastAsia"/>
                <w:color w:val="000000"/>
                <w:szCs w:val="21"/>
              </w:rPr>
              <w:t>20</w:t>
            </w:r>
            <w:r w:rsidRPr="00CA529A">
              <w:rPr>
                <w:rFonts w:hint="eastAsia"/>
                <w:color w:val="000000"/>
                <w:szCs w:val="21"/>
              </w:rPr>
              <w:t>℃）</w:t>
            </w:r>
          </w:p>
        </w:tc>
        <w:tc>
          <w:tcPr>
            <w:tcW w:w="4252" w:type="dxa"/>
            <w:vAlign w:val="center"/>
          </w:tcPr>
          <w:p w:rsidR="006028EA" w:rsidRPr="00CA529A" w:rsidRDefault="006028EA" w:rsidP="00325B1E">
            <w:pPr>
              <w:spacing w:before="120"/>
              <w:jc w:val="center"/>
              <w:rPr>
                <w:color w:val="000000"/>
                <w:szCs w:val="21"/>
              </w:rPr>
            </w:pPr>
            <w:r w:rsidRPr="00CA529A">
              <w:rPr>
                <w:rFonts w:hint="eastAsia"/>
                <w:color w:val="000000"/>
                <w:szCs w:val="21"/>
              </w:rPr>
              <w:t>SH/T 0604-2000</w:t>
            </w:r>
          </w:p>
        </w:tc>
      </w:tr>
      <w:tr w:rsidR="006028EA" w:rsidRPr="006028EA" w:rsidTr="004B3820">
        <w:tc>
          <w:tcPr>
            <w:tcW w:w="3794" w:type="dxa"/>
            <w:vAlign w:val="center"/>
          </w:tcPr>
          <w:p w:rsidR="006028EA" w:rsidRPr="00CA529A" w:rsidRDefault="004D38F1" w:rsidP="004D38F1">
            <w:pPr>
              <w:spacing w:before="120" w:line="200" w:lineRule="exact"/>
              <w:ind w:left="221"/>
              <w:jc w:val="center"/>
              <w:rPr>
                <w:color w:val="000000"/>
                <w:szCs w:val="21"/>
              </w:rPr>
            </w:pPr>
            <w:r w:rsidRPr="004D38F1">
              <w:rPr>
                <w:rFonts w:hint="eastAsia"/>
                <w:color w:val="000000"/>
                <w:szCs w:val="21"/>
              </w:rPr>
              <w:t>杂质含量</w:t>
            </w:r>
            <w:r w:rsidRPr="004D38F1">
              <w:rPr>
                <w:rFonts w:hint="eastAsia"/>
                <w:color w:val="000000"/>
                <w:szCs w:val="21"/>
              </w:rPr>
              <w:t>(</w:t>
            </w:r>
            <w:r w:rsidRPr="004D38F1">
              <w:rPr>
                <w:rFonts w:hint="eastAsia"/>
                <w:color w:val="000000"/>
                <w:szCs w:val="21"/>
              </w:rPr>
              <w:t>碱度（以</w:t>
            </w:r>
            <w:r w:rsidRPr="004D38F1">
              <w:rPr>
                <w:rFonts w:hint="eastAsia"/>
                <w:color w:val="000000"/>
                <w:szCs w:val="21"/>
              </w:rPr>
              <w:t>NH_(3)</w:t>
            </w:r>
            <w:r w:rsidRPr="004D38F1">
              <w:rPr>
                <w:rFonts w:hint="eastAsia"/>
                <w:color w:val="000000"/>
                <w:szCs w:val="21"/>
              </w:rPr>
              <w:t>计</w:t>
            </w:r>
          </w:p>
        </w:tc>
        <w:tc>
          <w:tcPr>
            <w:tcW w:w="4252" w:type="dxa"/>
            <w:vAlign w:val="center"/>
          </w:tcPr>
          <w:p w:rsidR="006028EA" w:rsidRPr="00CA529A" w:rsidRDefault="006028EA" w:rsidP="00325B1E">
            <w:pPr>
              <w:spacing w:before="120"/>
              <w:jc w:val="center"/>
              <w:rPr>
                <w:color w:val="000000"/>
                <w:szCs w:val="21"/>
              </w:rPr>
            </w:pPr>
            <w:r w:rsidRPr="00CA529A">
              <w:rPr>
                <w:rFonts w:hint="eastAsia"/>
                <w:color w:val="000000"/>
                <w:szCs w:val="21"/>
              </w:rPr>
              <w:t>GB 29518-2013</w:t>
            </w:r>
            <w:r w:rsidRPr="00CA529A">
              <w:rPr>
                <w:rFonts w:hint="eastAsia"/>
                <w:color w:val="000000"/>
                <w:szCs w:val="21"/>
              </w:rPr>
              <w:t>附录</w:t>
            </w:r>
            <w:r w:rsidRPr="00CA529A">
              <w:rPr>
                <w:rFonts w:hint="eastAsia"/>
                <w:color w:val="000000"/>
                <w:szCs w:val="21"/>
              </w:rPr>
              <w:t>B</w:t>
            </w:r>
          </w:p>
        </w:tc>
      </w:tr>
      <w:tr w:rsidR="006028EA" w:rsidRPr="006028EA" w:rsidTr="004B3820">
        <w:tc>
          <w:tcPr>
            <w:tcW w:w="3794" w:type="dxa"/>
            <w:vAlign w:val="center"/>
          </w:tcPr>
          <w:p w:rsidR="006028EA" w:rsidRPr="00CA529A" w:rsidRDefault="006028EA" w:rsidP="00325B1E">
            <w:pPr>
              <w:spacing w:before="120"/>
              <w:jc w:val="center"/>
              <w:rPr>
                <w:color w:val="000000"/>
                <w:szCs w:val="21"/>
              </w:rPr>
            </w:pPr>
            <w:r w:rsidRPr="00CA529A">
              <w:rPr>
                <w:rFonts w:hint="eastAsia"/>
                <w:color w:val="000000"/>
                <w:szCs w:val="21"/>
              </w:rPr>
              <w:t>缩二脲（质量分数）</w:t>
            </w:r>
          </w:p>
        </w:tc>
        <w:tc>
          <w:tcPr>
            <w:tcW w:w="4252" w:type="dxa"/>
            <w:vAlign w:val="center"/>
          </w:tcPr>
          <w:p w:rsidR="006028EA" w:rsidRPr="00CA529A" w:rsidRDefault="006028EA" w:rsidP="00325B1E">
            <w:pPr>
              <w:spacing w:before="120"/>
              <w:jc w:val="center"/>
              <w:rPr>
                <w:color w:val="000000"/>
                <w:szCs w:val="21"/>
              </w:rPr>
            </w:pPr>
            <w:r w:rsidRPr="00CA529A">
              <w:rPr>
                <w:rFonts w:hint="eastAsia"/>
                <w:color w:val="000000"/>
                <w:szCs w:val="21"/>
              </w:rPr>
              <w:t>GB 29518-2013</w:t>
            </w:r>
            <w:r w:rsidRPr="00CA529A">
              <w:rPr>
                <w:rFonts w:hint="eastAsia"/>
                <w:color w:val="000000"/>
                <w:szCs w:val="21"/>
              </w:rPr>
              <w:t>附录</w:t>
            </w:r>
            <w:r w:rsidRPr="00CA529A">
              <w:rPr>
                <w:rFonts w:hint="eastAsia"/>
                <w:color w:val="000000"/>
                <w:szCs w:val="21"/>
              </w:rPr>
              <w:t>C</w:t>
            </w:r>
          </w:p>
        </w:tc>
      </w:tr>
      <w:tr w:rsidR="006028EA" w:rsidRPr="006028EA" w:rsidTr="004B3820">
        <w:tc>
          <w:tcPr>
            <w:tcW w:w="3794" w:type="dxa"/>
            <w:vAlign w:val="center"/>
          </w:tcPr>
          <w:p w:rsidR="006028EA" w:rsidRPr="00CA529A" w:rsidRDefault="006028EA" w:rsidP="00325B1E">
            <w:pPr>
              <w:spacing w:before="120"/>
              <w:jc w:val="center"/>
              <w:rPr>
                <w:color w:val="000000"/>
                <w:szCs w:val="21"/>
              </w:rPr>
            </w:pPr>
            <w:r w:rsidRPr="00CA529A">
              <w:rPr>
                <w:rFonts w:hint="eastAsia"/>
                <w:color w:val="000000"/>
                <w:szCs w:val="21"/>
              </w:rPr>
              <w:t>钙</w:t>
            </w:r>
          </w:p>
        </w:tc>
        <w:tc>
          <w:tcPr>
            <w:tcW w:w="4252" w:type="dxa"/>
            <w:vMerge w:val="restart"/>
            <w:vAlign w:val="center"/>
          </w:tcPr>
          <w:p w:rsidR="006028EA" w:rsidRPr="00CA529A" w:rsidRDefault="006028EA" w:rsidP="006028EA">
            <w:pPr>
              <w:spacing w:before="120"/>
              <w:jc w:val="center"/>
              <w:rPr>
                <w:color w:val="000000"/>
                <w:szCs w:val="21"/>
              </w:rPr>
            </w:pPr>
            <w:r w:rsidRPr="00CA529A">
              <w:rPr>
                <w:rFonts w:hint="eastAsia"/>
                <w:color w:val="000000"/>
                <w:szCs w:val="21"/>
              </w:rPr>
              <w:t>GB 29518-2013</w:t>
            </w:r>
            <w:r w:rsidRPr="00CA529A">
              <w:rPr>
                <w:rFonts w:hint="eastAsia"/>
                <w:color w:val="000000"/>
                <w:szCs w:val="21"/>
              </w:rPr>
              <w:t>附录</w:t>
            </w:r>
            <w:r w:rsidRPr="00CA529A">
              <w:rPr>
                <w:rFonts w:hint="eastAsia"/>
                <w:color w:val="000000"/>
                <w:szCs w:val="21"/>
              </w:rPr>
              <w:t>G</w:t>
            </w:r>
          </w:p>
          <w:p w:rsidR="006028EA" w:rsidRPr="00CA529A" w:rsidRDefault="006028EA" w:rsidP="006028EA">
            <w:pPr>
              <w:pStyle w:val="a4"/>
              <w:adjustRightInd w:val="0"/>
              <w:snapToGrid w:val="0"/>
              <w:spacing w:line="280" w:lineRule="exact"/>
              <w:rPr>
                <w:rFonts w:ascii="Times New Roman" w:hAnsi="Times New Roman"/>
                <w:color w:val="000000"/>
                <w:kern w:val="2"/>
                <w:sz w:val="21"/>
                <w:szCs w:val="21"/>
              </w:rPr>
            </w:pPr>
          </w:p>
        </w:tc>
      </w:tr>
      <w:tr w:rsidR="006028EA" w:rsidRPr="006028EA" w:rsidTr="004B3820">
        <w:tc>
          <w:tcPr>
            <w:tcW w:w="3794" w:type="dxa"/>
            <w:vAlign w:val="center"/>
          </w:tcPr>
          <w:p w:rsidR="006028EA" w:rsidRPr="00CA529A" w:rsidRDefault="006028EA" w:rsidP="00325B1E">
            <w:pPr>
              <w:spacing w:before="120"/>
              <w:jc w:val="center"/>
              <w:rPr>
                <w:color w:val="000000"/>
                <w:szCs w:val="21"/>
              </w:rPr>
            </w:pPr>
            <w:r w:rsidRPr="00CA529A">
              <w:rPr>
                <w:rFonts w:hint="eastAsia"/>
                <w:color w:val="000000"/>
                <w:szCs w:val="21"/>
              </w:rPr>
              <w:t>铁</w:t>
            </w:r>
          </w:p>
        </w:tc>
        <w:tc>
          <w:tcPr>
            <w:tcW w:w="4252" w:type="dxa"/>
            <w:vMerge/>
            <w:vAlign w:val="center"/>
          </w:tcPr>
          <w:p w:rsidR="006028EA" w:rsidRPr="006028EA" w:rsidRDefault="006028EA" w:rsidP="006028EA">
            <w:pPr>
              <w:pStyle w:val="a4"/>
              <w:adjustRightInd w:val="0"/>
              <w:snapToGrid w:val="0"/>
              <w:spacing w:line="280" w:lineRule="exact"/>
              <w:rPr>
                <w:rFonts w:hAnsi="宋体" w:cs="宋体"/>
                <w:color w:val="000000"/>
                <w:sz w:val="22"/>
                <w:szCs w:val="22"/>
              </w:rPr>
            </w:pPr>
          </w:p>
        </w:tc>
      </w:tr>
      <w:tr w:rsidR="006028EA" w:rsidRPr="006028EA" w:rsidTr="004B3820">
        <w:tc>
          <w:tcPr>
            <w:tcW w:w="3794" w:type="dxa"/>
            <w:vAlign w:val="center"/>
          </w:tcPr>
          <w:p w:rsidR="006028EA" w:rsidRPr="00CA529A" w:rsidRDefault="006028EA" w:rsidP="00325B1E">
            <w:pPr>
              <w:spacing w:before="120"/>
              <w:jc w:val="center"/>
              <w:rPr>
                <w:color w:val="000000"/>
                <w:szCs w:val="21"/>
              </w:rPr>
            </w:pPr>
            <w:r w:rsidRPr="00CA529A">
              <w:rPr>
                <w:rFonts w:hint="eastAsia"/>
                <w:color w:val="000000"/>
                <w:szCs w:val="21"/>
              </w:rPr>
              <w:t>钠</w:t>
            </w:r>
          </w:p>
        </w:tc>
        <w:tc>
          <w:tcPr>
            <w:tcW w:w="4252" w:type="dxa"/>
            <w:vMerge/>
            <w:vAlign w:val="center"/>
          </w:tcPr>
          <w:p w:rsidR="006028EA" w:rsidRPr="006028EA" w:rsidRDefault="006028EA" w:rsidP="006028EA">
            <w:pPr>
              <w:pStyle w:val="a4"/>
              <w:adjustRightInd w:val="0"/>
              <w:snapToGrid w:val="0"/>
              <w:spacing w:line="280" w:lineRule="exact"/>
              <w:rPr>
                <w:rFonts w:hAnsi="宋体" w:cs="宋体"/>
                <w:color w:val="000000"/>
                <w:sz w:val="22"/>
                <w:szCs w:val="22"/>
              </w:rPr>
            </w:pPr>
          </w:p>
        </w:tc>
      </w:tr>
      <w:tr w:rsidR="006028EA" w:rsidRPr="006028EA" w:rsidTr="004B3820">
        <w:tc>
          <w:tcPr>
            <w:tcW w:w="3794" w:type="dxa"/>
            <w:vAlign w:val="center"/>
          </w:tcPr>
          <w:p w:rsidR="006028EA" w:rsidRPr="00CA529A" w:rsidRDefault="006028EA" w:rsidP="00325B1E">
            <w:pPr>
              <w:spacing w:before="120"/>
              <w:jc w:val="center"/>
              <w:rPr>
                <w:color w:val="000000"/>
                <w:szCs w:val="21"/>
              </w:rPr>
            </w:pPr>
            <w:r w:rsidRPr="00CA529A">
              <w:rPr>
                <w:rFonts w:hint="eastAsia"/>
                <w:color w:val="000000"/>
                <w:szCs w:val="21"/>
              </w:rPr>
              <w:t>钾</w:t>
            </w:r>
          </w:p>
        </w:tc>
        <w:tc>
          <w:tcPr>
            <w:tcW w:w="4252" w:type="dxa"/>
            <w:vMerge/>
            <w:vAlign w:val="center"/>
          </w:tcPr>
          <w:p w:rsidR="006028EA" w:rsidRPr="006028EA" w:rsidRDefault="006028EA" w:rsidP="006028EA">
            <w:pPr>
              <w:pStyle w:val="a4"/>
              <w:adjustRightInd w:val="0"/>
              <w:snapToGrid w:val="0"/>
              <w:spacing w:line="280" w:lineRule="exact"/>
              <w:rPr>
                <w:rFonts w:hAnsi="宋体" w:cs="宋体"/>
                <w:color w:val="000000"/>
                <w:sz w:val="22"/>
                <w:szCs w:val="22"/>
              </w:rPr>
            </w:pPr>
          </w:p>
        </w:tc>
      </w:tr>
    </w:tbl>
    <w:p w:rsidR="00A8331F" w:rsidRPr="006028EA" w:rsidRDefault="00A8331F" w:rsidP="00B611F1">
      <w:pPr>
        <w:pStyle w:val="a0"/>
        <w:ind w:leftChars="0" w:left="0"/>
        <w:rPr>
          <w:sz w:val="22"/>
          <w:szCs w:val="22"/>
        </w:rPr>
      </w:pPr>
    </w:p>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w:t>
      </w:r>
      <w:r>
        <w:rPr>
          <w:rFonts w:hint="eastAsia"/>
          <w:szCs w:val="21"/>
        </w:rPr>
        <w:lastRenderedPageBreak/>
        <w:t>注日期的文件，其最新版本适用于本细则。</w:t>
      </w:r>
      <w:bookmarkEnd w:id="1"/>
    </w:p>
    <w:p w:rsidR="00D44628" w:rsidRDefault="00BE314F">
      <w:pPr>
        <w:adjustRightInd w:val="0"/>
        <w:snapToGrid w:val="0"/>
        <w:spacing w:line="440" w:lineRule="exact"/>
        <w:ind w:firstLineChars="200" w:firstLine="420"/>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4D38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B611F1" w:rsidRPr="006028EA" w:rsidRDefault="006028EA" w:rsidP="006028EA">
      <w:pPr>
        <w:spacing w:line="614" w:lineRule="exact"/>
        <w:ind w:firstLineChars="150" w:firstLine="315"/>
        <w:rPr>
          <w:color w:val="000000"/>
          <w:szCs w:val="21"/>
        </w:rPr>
      </w:pPr>
      <w:r>
        <w:rPr>
          <w:rFonts w:hint="eastAsia"/>
          <w:color w:val="000000"/>
          <w:szCs w:val="21"/>
        </w:rPr>
        <w:t>GB 29518-2013</w:t>
      </w:r>
      <w:r>
        <w:rPr>
          <w:rFonts w:hint="eastAsia"/>
          <w:color w:val="000000"/>
          <w:szCs w:val="21"/>
        </w:rPr>
        <w:t>《柴油发动机氮氧化物还原剂</w:t>
      </w:r>
      <w:r>
        <w:rPr>
          <w:rFonts w:hint="eastAsia"/>
          <w:color w:val="000000"/>
          <w:szCs w:val="21"/>
        </w:rPr>
        <w:t xml:space="preserve"> </w:t>
      </w:r>
      <w:r>
        <w:rPr>
          <w:rFonts w:hint="eastAsia"/>
          <w:color w:val="000000"/>
          <w:szCs w:val="21"/>
        </w:rPr>
        <w:t>尿素水溶液（</w:t>
      </w:r>
      <w:r>
        <w:rPr>
          <w:rFonts w:hint="eastAsia"/>
          <w:color w:val="000000"/>
          <w:szCs w:val="21"/>
        </w:rPr>
        <w:t>AUS32</w:t>
      </w:r>
      <w:r>
        <w:rPr>
          <w:rFonts w:hint="eastAsia"/>
          <w:color w:val="000000"/>
          <w:szCs w:val="21"/>
        </w:rPr>
        <w:t>）》</w:t>
      </w:r>
    </w:p>
    <w:p w:rsidR="00D44628" w:rsidRDefault="00BE314F" w:rsidP="00B611F1">
      <w:pPr>
        <w:adjustRightInd w:val="0"/>
        <w:snapToGrid w:val="0"/>
        <w:spacing w:line="44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A9C" w:rsidRDefault="00550A9C" w:rsidP="00D44628">
      <w:r>
        <w:separator/>
      </w:r>
    </w:p>
  </w:endnote>
  <w:endnote w:type="continuationSeparator" w:id="1">
    <w:p w:rsidR="00550A9C" w:rsidRDefault="00550A9C"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F2308B">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F2308B">
    <w:pPr>
      <w:pStyle w:val="a5"/>
      <w:jc w:val="center"/>
    </w:pPr>
    <w:r>
      <w:rPr>
        <w:lang w:val="zh-CN"/>
      </w:rPr>
      <w:fldChar w:fldCharType="begin"/>
    </w:r>
    <w:r w:rsidR="00BE314F">
      <w:rPr>
        <w:lang w:val="zh-CN"/>
      </w:rPr>
      <w:instrText xml:space="preserve"> PAGE   \* MERGEFORMAT </w:instrText>
    </w:r>
    <w:r>
      <w:rPr>
        <w:lang w:val="zh-CN"/>
      </w:rPr>
      <w:fldChar w:fldCharType="separate"/>
    </w:r>
    <w:r w:rsidR="004D38F1" w:rsidRPr="004D38F1">
      <w:rPr>
        <w:noProof/>
      </w:rPr>
      <w:t>1</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A9C" w:rsidRDefault="00550A9C" w:rsidP="00D44628">
      <w:r>
        <w:separator/>
      </w:r>
    </w:p>
  </w:footnote>
  <w:footnote w:type="continuationSeparator" w:id="1">
    <w:p w:rsidR="00550A9C" w:rsidRDefault="00550A9C"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0C53EA"/>
    <w:rsid w:val="001A1B24"/>
    <w:rsid w:val="001D381C"/>
    <w:rsid w:val="0026326C"/>
    <w:rsid w:val="002B5684"/>
    <w:rsid w:val="00326A26"/>
    <w:rsid w:val="003E1511"/>
    <w:rsid w:val="004B3820"/>
    <w:rsid w:val="004D38F1"/>
    <w:rsid w:val="00550A9C"/>
    <w:rsid w:val="006028EA"/>
    <w:rsid w:val="0062256C"/>
    <w:rsid w:val="00675FC6"/>
    <w:rsid w:val="008564F0"/>
    <w:rsid w:val="00936124"/>
    <w:rsid w:val="009C6FC3"/>
    <w:rsid w:val="009D1DF9"/>
    <w:rsid w:val="009D2E9E"/>
    <w:rsid w:val="00A161F2"/>
    <w:rsid w:val="00A8331F"/>
    <w:rsid w:val="00AF1518"/>
    <w:rsid w:val="00B46026"/>
    <w:rsid w:val="00B611F1"/>
    <w:rsid w:val="00BE314F"/>
    <w:rsid w:val="00C71664"/>
    <w:rsid w:val="00CA529A"/>
    <w:rsid w:val="00D25985"/>
    <w:rsid w:val="00D44628"/>
    <w:rsid w:val="00ED0A6B"/>
    <w:rsid w:val="00F2308B"/>
    <w:rsid w:val="00F739C9"/>
    <w:rsid w:val="00FA727A"/>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140</Words>
  <Characters>800</Characters>
  <Application>Microsoft Office Word</Application>
  <DocSecurity>0</DocSecurity>
  <Lines>6</Lines>
  <Paragraphs>1</Paragraphs>
  <ScaleCrop>false</ScaleCrop>
  <Company>微软中国</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18</cp:revision>
  <dcterms:created xsi:type="dcterms:W3CDTF">2022-09-21T15:46:00Z</dcterms:created>
  <dcterms:modified xsi:type="dcterms:W3CDTF">2023-07-14T08:24:00Z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