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DA" w:rsidRPr="000E32F1" w:rsidRDefault="00B678DA" w:rsidP="00B678DA">
      <w:pPr>
        <w:adjustRightInd w:val="0"/>
        <w:snapToGrid w:val="0"/>
        <w:spacing w:line="594" w:lineRule="exact"/>
        <w:jc w:val="center"/>
        <w:rPr>
          <w:rFonts w:asciiTheme="majorEastAsia" w:eastAsiaTheme="majorEastAsia" w:hAnsiTheme="majorEastAsia" w:cs="方正小标宋_GBK"/>
          <w:sz w:val="32"/>
          <w:szCs w:val="32"/>
        </w:rPr>
      </w:pPr>
      <w:bookmarkStart w:id="0" w:name="_GoBack"/>
      <w:r w:rsidRPr="000E32F1">
        <w:rPr>
          <w:rFonts w:asciiTheme="majorEastAsia" w:eastAsiaTheme="majorEastAsia" w:hAnsiTheme="majorEastAsia" w:cs="方正小标宋_GBK" w:hint="eastAsia"/>
          <w:sz w:val="32"/>
          <w:szCs w:val="32"/>
        </w:rPr>
        <w:t>2023</w:t>
      </w:r>
      <w:r w:rsidR="000E32F1" w:rsidRPr="000E32F1">
        <w:rPr>
          <w:rFonts w:asciiTheme="majorEastAsia" w:eastAsiaTheme="majorEastAsia" w:hAnsiTheme="majorEastAsia" w:cs="方正小标宋_GBK" w:hint="eastAsia"/>
          <w:sz w:val="32"/>
          <w:szCs w:val="32"/>
        </w:rPr>
        <w:t>年承德市</w:t>
      </w:r>
      <w:r w:rsidRPr="000E32F1">
        <w:rPr>
          <w:rFonts w:asciiTheme="majorEastAsia" w:eastAsiaTheme="majorEastAsia" w:hAnsiTheme="majorEastAsia" w:cs="方正小标宋_GBK" w:hint="eastAsia"/>
          <w:sz w:val="32"/>
          <w:szCs w:val="32"/>
        </w:rPr>
        <w:t>醇基燃料产品质量监督抽查实施细则</w:t>
      </w:r>
    </w:p>
    <w:bookmarkEnd w:id="0"/>
    <w:p w:rsidR="00B678DA" w:rsidRDefault="00B678DA" w:rsidP="000E32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B678DA" w:rsidRDefault="00B678DA" w:rsidP="00B678DA">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B678DA" w:rsidRDefault="00B678DA" w:rsidP="00B678DA">
      <w:pPr>
        <w:snapToGrid w:val="0"/>
        <w:spacing w:line="440" w:lineRule="exact"/>
        <w:ind w:firstLineChars="200" w:firstLine="420"/>
        <w:rPr>
          <w:szCs w:val="21"/>
        </w:rPr>
      </w:pPr>
      <w:r>
        <w:rPr>
          <w:rFonts w:ascii="宋体" w:hAnsi="宋体" w:hint="eastAsia"/>
          <w:szCs w:val="21"/>
        </w:rPr>
        <w:t>每批次产品抽取样品不少于4L，其中2L为检验用样品，2L为备用样品。</w:t>
      </w:r>
    </w:p>
    <w:p w:rsidR="00B678DA" w:rsidRDefault="00B678DA" w:rsidP="000E32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B678DA" w:rsidRDefault="00B678DA" w:rsidP="00B678DA">
      <w:pPr>
        <w:adjustRightInd w:val="0"/>
        <w:snapToGrid w:val="0"/>
        <w:spacing w:line="440" w:lineRule="exact"/>
        <w:jc w:val="center"/>
        <w:rPr>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B678DA" w:rsidTr="00C64BCA">
        <w:trPr>
          <w:cantSplit/>
          <w:trHeight w:val="304"/>
          <w:tblHeader/>
          <w:jc w:val="center"/>
        </w:trPr>
        <w:tc>
          <w:tcPr>
            <w:tcW w:w="612" w:type="pct"/>
            <w:vAlign w:val="center"/>
          </w:tcPr>
          <w:p w:rsidR="00B678DA" w:rsidRDefault="00B678DA" w:rsidP="005C6570">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B678DA" w:rsidRDefault="00B678DA" w:rsidP="005C6570">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B678DA" w:rsidRDefault="00B678DA" w:rsidP="005C6570">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B678DA" w:rsidRDefault="00B678DA" w:rsidP="005C6570">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B678DA" w:rsidTr="00C64BCA">
        <w:trPr>
          <w:cantSplit/>
          <w:trHeight w:val="450"/>
          <w:tblHeader/>
          <w:jc w:val="center"/>
        </w:trPr>
        <w:tc>
          <w:tcPr>
            <w:tcW w:w="612" w:type="pct"/>
            <w:vAlign w:val="center"/>
          </w:tcPr>
          <w:p w:rsidR="00B678DA" w:rsidRDefault="00B678DA" w:rsidP="005C6570">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Align w:val="center"/>
          </w:tcPr>
          <w:p w:rsidR="00B678DA" w:rsidRPr="00C64BCA" w:rsidRDefault="00B678DA" w:rsidP="00B678DA">
            <w:pPr>
              <w:snapToGrid w:val="0"/>
              <w:jc w:val="center"/>
              <w:rPr>
                <w:szCs w:val="21"/>
              </w:rPr>
            </w:pPr>
            <w:r w:rsidRPr="00C64BCA">
              <w:rPr>
                <w:rFonts w:hint="eastAsia"/>
                <w:szCs w:val="21"/>
              </w:rPr>
              <w:t>醇基燃料</w:t>
            </w:r>
          </w:p>
        </w:tc>
        <w:tc>
          <w:tcPr>
            <w:tcW w:w="1302" w:type="pct"/>
            <w:vAlign w:val="center"/>
          </w:tcPr>
          <w:p w:rsidR="00B678DA" w:rsidRPr="00C64BCA" w:rsidRDefault="00B678DA" w:rsidP="00B678DA">
            <w:pPr>
              <w:snapToGrid w:val="0"/>
              <w:jc w:val="center"/>
              <w:rPr>
                <w:szCs w:val="21"/>
              </w:rPr>
            </w:pPr>
            <w:r w:rsidRPr="00C64BCA">
              <w:rPr>
                <w:rFonts w:hint="eastAsia"/>
                <w:szCs w:val="21"/>
              </w:rPr>
              <w:t>GB 16663-1996</w:t>
            </w:r>
          </w:p>
        </w:tc>
        <w:tc>
          <w:tcPr>
            <w:tcW w:w="1680" w:type="pct"/>
            <w:vAlign w:val="center"/>
          </w:tcPr>
          <w:p w:rsidR="00B678DA" w:rsidRPr="00C64BCA" w:rsidRDefault="00B678DA" w:rsidP="00C64BCA">
            <w:pPr>
              <w:snapToGrid w:val="0"/>
              <w:ind w:firstLineChars="200" w:firstLine="420"/>
              <w:jc w:val="center"/>
              <w:rPr>
                <w:szCs w:val="21"/>
              </w:rPr>
            </w:pPr>
            <w:r w:rsidRPr="00C64BCA">
              <w:rPr>
                <w:rFonts w:hint="eastAsia"/>
                <w:szCs w:val="21"/>
              </w:rPr>
              <w:t>《醇基液体燃料》</w:t>
            </w:r>
          </w:p>
        </w:tc>
      </w:tr>
    </w:tbl>
    <w:p w:rsidR="00B678DA" w:rsidRDefault="00B678DA" w:rsidP="000E32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B678DA" w:rsidRDefault="00B678DA" w:rsidP="00B678DA">
      <w:pPr>
        <w:adjustRightInd w:val="0"/>
        <w:snapToGrid w:val="0"/>
        <w:spacing w:line="440" w:lineRule="exact"/>
        <w:jc w:val="center"/>
        <w:rPr>
          <w:rFonts w:ascii="黑体" w:eastAsia="黑体" w:hAnsi="黑体" w:cs="黑体"/>
          <w:szCs w:val="21"/>
        </w:rPr>
      </w:pPr>
      <w:r>
        <w:rPr>
          <w:rFonts w:ascii="宋体" w:hAnsi="宋体" w:cs="宋体" w:hint="eastAsia"/>
          <w:szCs w:val="21"/>
        </w:rPr>
        <w:t>表2 检验项目及依据</w:t>
      </w:r>
    </w:p>
    <w:tbl>
      <w:tblPr>
        <w:tblW w:w="4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1"/>
        <w:gridCol w:w="4822"/>
      </w:tblGrid>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检验项目</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检验标准依据</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醇含量</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 xml:space="preserve">GB 16663-1996 </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密度</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GB/T 611-2021</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机械杂质</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GB/T 511-2010</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凝点</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GB/T 510-2018</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pH</w:t>
            </w:r>
            <w:r w:rsidRPr="00C64BCA">
              <w:rPr>
                <w:rFonts w:hint="eastAsia"/>
                <w:szCs w:val="21"/>
              </w:rPr>
              <w:t>值</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GB 16663-1996</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50%</w:t>
            </w:r>
            <w:r w:rsidRPr="00C64BCA">
              <w:rPr>
                <w:rFonts w:hint="eastAsia"/>
                <w:szCs w:val="21"/>
              </w:rPr>
              <w:t>馏出温度</w:t>
            </w:r>
          </w:p>
        </w:tc>
        <w:tc>
          <w:tcPr>
            <w:tcW w:w="2829" w:type="pct"/>
            <w:shd w:val="clear" w:color="auto" w:fill="auto"/>
            <w:vAlign w:val="center"/>
          </w:tcPr>
          <w:p w:rsidR="00B678DA" w:rsidRPr="00C64BCA" w:rsidRDefault="00B678DA" w:rsidP="005C6570">
            <w:pPr>
              <w:snapToGrid w:val="0"/>
              <w:jc w:val="center"/>
              <w:rPr>
                <w:szCs w:val="21"/>
              </w:rPr>
            </w:pPr>
            <w:r w:rsidRPr="00C64BCA">
              <w:rPr>
                <w:szCs w:val="21"/>
              </w:rPr>
              <w:t>GB/T 6536</w:t>
            </w:r>
            <w:r w:rsidRPr="00C64BCA">
              <w:rPr>
                <w:rFonts w:hint="eastAsia"/>
                <w:szCs w:val="21"/>
              </w:rPr>
              <w:t>-2010</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总硫含量</w:t>
            </w:r>
          </w:p>
        </w:tc>
        <w:tc>
          <w:tcPr>
            <w:tcW w:w="2829" w:type="pct"/>
            <w:shd w:val="clear" w:color="auto" w:fill="auto"/>
            <w:vAlign w:val="center"/>
          </w:tcPr>
          <w:p w:rsidR="00B678DA" w:rsidRPr="00C64BCA" w:rsidRDefault="00B678DA" w:rsidP="005C6570">
            <w:pPr>
              <w:snapToGrid w:val="0"/>
              <w:jc w:val="center"/>
              <w:rPr>
                <w:szCs w:val="21"/>
              </w:rPr>
            </w:pPr>
            <w:r w:rsidRPr="00C64BCA">
              <w:rPr>
                <w:szCs w:val="21"/>
              </w:rPr>
              <w:t>SH/T 068</w:t>
            </w:r>
            <w:r w:rsidRPr="00C64BCA">
              <w:rPr>
                <w:rFonts w:hint="eastAsia"/>
                <w:szCs w:val="21"/>
              </w:rPr>
              <w:t>9-2000</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低热值</w:t>
            </w:r>
          </w:p>
        </w:tc>
        <w:tc>
          <w:tcPr>
            <w:tcW w:w="2829" w:type="pct"/>
            <w:shd w:val="clear" w:color="auto" w:fill="auto"/>
            <w:vAlign w:val="center"/>
          </w:tcPr>
          <w:p w:rsidR="00B678DA" w:rsidRPr="00C64BCA" w:rsidRDefault="00B678DA" w:rsidP="005C6570">
            <w:pPr>
              <w:snapToGrid w:val="0"/>
              <w:jc w:val="center"/>
              <w:rPr>
                <w:szCs w:val="21"/>
              </w:rPr>
            </w:pPr>
            <w:r w:rsidRPr="00C64BCA">
              <w:rPr>
                <w:szCs w:val="21"/>
              </w:rPr>
              <w:t>GB/T 384</w:t>
            </w:r>
            <w:r w:rsidRPr="00C64BCA">
              <w:rPr>
                <w:rFonts w:hint="eastAsia"/>
                <w:szCs w:val="21"/>
              </w:rPr>
              <w:t>-1981</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稳定性</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GB 16663-1996</w:t>
            </w:r>
          </w:p>
        </w:tc>
      </w:tr>
      <w:tr w:rsidR="00B678DA" w:rsidRPr="00BC4166" w:rsidTr="00B678DA">
        <w:trPr>
          <w:jc w:val="center"/>
        </w:trPr>
        <w:tc>
          <w:tcPr>
            <w:tcW w:w="2171" w:type="pct"/>
            <w:shd w:val="clear" w:color="auto" w:fill="auto"/>
            <w:vAlign w:val="center"/>
          </w:tcPr>
          <w:p w:rsidR="00B678DA" w:rsidRPr="00C64BCA" w:rsidRDefault="00B678DA" w:rsidP="005C6570">
            <w:pPr>
              <w:snapToGrid w:val="0"/>
              <w:jc w:val="center"/>
              <w:rPr>
                <w:szCs w:val="21"/>
              </w:rPr>
            </w:pPr>
            <w:r w:rsidRPr="00C64BCA">
              <w:rPr>
                <w:rFonts w:hint="eastAsia"/>
                <w:szCs w:val="21"/>
              </w:rPr>
              <w:t>甲醛试验</w:t>
            </w:r>
          </w:p>
        </w:tc>
        <w:tc>
          <w:tcPr>
            <w:tcW w:w="2829" w:type="pct"/>
            <w:shd w:val="clear" w:color="auto" w:fill="auto"/>
            <w:vAlign w:val="center"/>
          </w:tcPr>
          <w:p w:rsidR="00B678DA" w:rsidRPr="00C64BCA" w:rsidRDefault="00B678DA" w:rsidP="005C6570">
            <w:pPr>
              <w:snapToGrid w:val="0"/>
              <w:jc w:val="center"/>
              <w:rPr>
                <w:szCs w:val="21"/>
              </w:rPr>
            </w:pPr>
            <w:r w:rsidRPr="00C64BCA">
              <w:rPr>
                <w:rFonts w:hint="eastAsia"/>
                <w:szCs w:val="21"/>
              </w:rPr>
              <w:t>GB 16663-1996</w:t>
            </w:r>
          </w:p>
        </w:tc>
      </w:tr>
    </w:tbl>
    <w:p w:rsidR="00B678DA" w:rsidRDefault="00B678DA" w:rsidP="00B678DA">
      <w:pPr>
        <w:adjustRightInd w:val="0"/>
        <w:snapToGrid w:val="0"/>
        <w:spacing w:line="440" w:lineRule="exact"/>
        <w:ind w:firstLineChars="200" w:firstLine="420"/>
        <w:rPr>
          <w:szCs w:val="21"/>
        </w:rPr>
      </w:pPr>
      <w:bookmarkStart w:id="1" w:name="_Hlk28257335"/>
      <w:r>
        <w:rPr>
          <w:rFonts w:hint="eastAsia"/>
          <w:szCs w:val="21"/>
        </w:rPr>
        <w:t>执行企业标准、团体标准、地方标准的产品，检验项目参照上述内容执行。</w:t>
      </w:r>
    </w:p>
    <w:p w:rsidR="00B678DA" w:rsidRDefault="00B678DA" w:rsidP="00B678DA">
      <w:pPr>
        <w:adjustRightInd w:val="0"/>
        <w:snapToGrid w:val="0"/>
        <w:spacing w:line="440" w:lineRule="exact"/>
        <w:ind w:firstLineChars="200" w:firstLine="420"/>
        <w:rPr>
          <w:szCs w:val="21"/>
        </w:rPr>
      </w:pPr>
      <w:r>
        <w:rPr>
          <w:rFonts w:hint="eastAsia"/>
          <w:szCs w:val="21"/>
        </w:rPr>
        <w:t>凡是注日期的文件，其随后所有的修改单（不包括勘误的内容）或修订版不适用于本细则。凡是不注日期的文件，其最新版本适用于本细则。</w:t>
      </w:r>
      <w:bookmarkEnd w:id="1"/>
    </w:p>
    <w:p w:rsidR="00B678DA" w:rsidRDefault="00B678DA" w:rsidP="00B678DA">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B678DA" w:rsidRDefault="00B678DA" w:rsidP="000E32F1">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B678DA" w:rsidRDefault="00B678DA" w:rsidP="00B678DA">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9A4788" w:rsidRPr="000E32F1" w:rsidRDefault="009A4788" w:rsidP="000E32F1">
      <w:pPr>
        <w:adjustRightInd w:val="0"/>
        <w:snapToGrid w:val="0"/>
        <w:spacing w:line="440" w:lineRule="exact"/>
        <w:ind w:firstLineChars="200" w:firstLine="420"/>
        <w:rPr>
          <w:rFonts w:ascii="宋体" w:hAnsi="宋体" w:cs="宋体"/>
          <w:szCs w:val="21"/>
        </w:rPr>
      </w:pPr>
      <w:r w:rsidRPr="000E32F1">
        <w:rPr>
          <w:rFonts w:ascii="宋体" w:hAnsi="宋体" w:cs="宋体" w:hint="eastAsia"/>
          <w:szCs w:val="21"/>
        </w:rPr>
        <w:t>GB 16663-1996《醇基液体燃料》</w:t>
      </w:r>
    </w:p>
    <w:p w:rsidR="00B678DA" w:rsidRDefault="00B678DA" w:rsidP="00B678DA">
      <w:pPr>
        <w:adjustRightInd w:val="0"/>
        <w:snapToGrid w:val="0"/>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现行有效的企业标准、团体标准、地方标准及产品明示质量要求</w:t>
      </w:r>
    </w:p>
    <w:p w:rsidR="00B678DA" w:rsidRDefault="00B678DA" w:rsidP="00B678DA">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B678DA" w:rsidRDefault="00B678DA" w:rsidP="00B678DA">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B678DA" w:rsidRDefault="00B678DA" w:rsidP="00B678DA">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B678DA" w:rsidRDefault="00B678DA" w:rsidP="00B678DA">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B678DA" w:rsidRDefault="00B678DA" w:rsidP="00B678DA">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B678DA" w:rsidRDefault="00B678DA" w:rsidP="00B678DA">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B678DA" w:rsidRDefault="00B678DA" w:rsidP="00B678DA">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B678DA" w:rsidRDefault="00B678DA" w:rsidP="00B678DA"/>
    <w:p w:rsidR="00F02CAD" w:rsidRPr="00B678DA" w:rsidRDefault="00F02CAD"/>
    <w:sectPr w:rsidR="00F02CAD" w:rsidRPr="00B678DA" w:rsidSect="00507077">
      <w:headerReference w:type="default" r:id="rId6"/>
      <w:footerReference w:type="even" r:id="rId7"/>
      <w:footerReference w:type="default" r:id="rId8"/>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62" w:rsidRDefault="006A5D62" w:rsidP="00B678DA">
      <w:r>
        <w:separator/>
      </w:r>
    </w:p>
  </w:endnote>
  <w:endnote w:type="continuationSeparator" w:id="1">
    <w:p w:rsidR="006A5D62" w:rsidRDefault="006A5D62" w:rsidP="00B678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77" w:rsidRDefault="009B04FD">
    <w:pPr>
      <w:pStyle w:val="a5"/>
      <w:framePr w:wrap="around" w:vAnchor="text" w:hAnchor="margin" w:xAlign="center" w:y="1"/>
      <w:rPr>
        <w:rStyle w:val="a7"/>
      </w:rPr>
    </w:pPr>
    <w:r>
      <w:fldChar w:fldCharType="begin"/>
    </w:r>
    <w:r w:rsidR="003C6014">
      <w:rPr>
        <w:rStyle w:val="a7"/>
      </w:rPr>
      <w:instrText xml:space="preserve">PAGE  </w:instrText>
    </w:r>
    <w:r>
      <w:fldChar w:fldCharType="separate"/>
    </w:r>
    <w:r w:rsidR="003C6014">
      <w:rPr>
        <w:rStyle w:val="a7"/>
      </w:rPr>
      <w:t>2</w:t>
    </w:r>
    <w:r>
      <w:fldChar w:fldCharType="end"/>
    </w:r>
  </w:p>
  <w:p w:rsidR="00507077" w:rsidRDefault="006A5D6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77" w:rsidRDefault="009B04FD">
    <w:pPr>
      <w:pStyle w:val="a5"/>
      <w:jc w:val="center"/>
    </w:pPr>
    <w:r>
      <w:rPr>
        <w:lang w:val="zh-CN"/>
      </w:rPr>
      <w:fldChar w:fldCharType="begin"/>
    </w:r>
    <w:r w:rsidR="003C6014">
      <w:rPr>
        <w:lang w:val="zh-CN"/>
      </w:rPr>
      <w:instrText xml:space="preserve"> PAGE   \* MERGEFORMAT </w:instrText>
    </w:r>
    <w:r>
      <w:rPr>
        <w:lang w:val="zh-CN"/>
      </w:rPr>
      <w:fldChar w:fldCharType="separate"/>
    </w:r>
    <w:r w:rsidR="000E32F1" w:rsidRPr="000E32F1">
      <w:rPr>
        <w:noProof/>
      </w:rPr>
      <w:t>1</w:t>
    </w:r>
    <w:r>
      <w:rPr>
        <w:lang w:val="zh-CN"/>
      </w:rPr>
      <w:fldChar w:fldCharType="end"/>
    </w:r>
  </w:p>
  <w:p w:rsidR="00507077" w:rsidRDefault="006A5D6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62" w:rsidRDefault="006A5D62" w:rsidP="00B678DA">
      <w:r>
        <w:separator/>
      </w:r>
    </w:p>
  </w:footnote>
  <w:footnote w:type="continuationSeparator" w:id="1">
    <w:p w:rsidR="006A5D62" w:rsidRDefault="006A5D62" w:rsidP="00B67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77" w:rsidRDefault="006A5D6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8DA"/>
    <w:rsid w:val="0001570B"/>
    <w:rsid w:val="00022816"/>
    <w:rsid w:val="00032E55"/>
    <w:rsid w:val="00033760"/>
    <w:rsid w:val="00033C15"/>
    <w:rsid w:val="0003466F"/>
    <w:rsid w:val="000377BF"/>
    <w:rsid w:val="00053B00"/>
    <w:rsid w:val="00054C5F"/>
    <w:rsid w:val="00056FDE"/>
    <w:rsid w:val="000570AA"/>
    <w:rsid w:val="000617E6"/>
    <w:rsid w:val="00070B6F"/>
    <w:rsid w:val="000963D0"/>
    <w:rsid w:val="000A5CDE"/>
    <w:rsid w:val="000A5E33"/>
    <w:rsid w:val="000B3A4D"/>
    <w:rsid w:val="000D0BA3"/>
    <w:rsid w:val="000D1E20"/>
    <w:rsid w:val="000D2AFB"/>
    <w:rsid w:val="000D5517"/>
    <w:rsid w:val="000D7AE3"/>
    <w:rsid w:val="000E030C"/>
    <w:rsid w:val="000E3169"/>
    <w:rsid w:val="000E32F1"/>
    <w:rsid w:val="000E3AD8"/>
    <w:rsid w:val="000E445A"/>
    <w:rsid w:val="000F6E54"/>
    <w:rsid w:val="00102DDF"/>
    <w:rsid w:val="00103F3B"/>
    <w:rsid w:val="001050A7"/>
    <w:rsid w:val="001148FB"/>
    <w:rsid w:val="00117D5F"/>
    <w:rsid w:val="001248C3"/>
    <w:rsid w:val="0013020F"/>
    <w:rsid w:val="00133A18"/>
    <w:rsid w:val="00142F44"/>
    <w:rsid w:val="00147E97"/>
    <w:rsid w:val="00150716"/>
    <w:rsid w:val="00150AC7"/>
    <w:rsid w:val="00151B25"/>
    <w:rsid w:val="0015626A"/>
    <w:rsid w:val="00160937"/>
    <w:rsid w:val="00161C81"/>
    <w:rsid w:val="0016362A"/>
    <w:rsid w:val="001648E7"/>
    <w:rsid w:val="00164ED6"/>
    <w:rsid w:val="001673DA"/>
    <w:rsid w:val="0017197D"/>
    <w:rsid w:val="0017319E"/>
    <w:rsid w:val="00175460"/>
    <w:rsid w:val="00176DFC"/>
    <w:rsid w:val="00177BEE"/>
    <w:rsid w:val="001859D7"/>
    <w:rsid w:val="00185A1C"/>
    <w:rsid w:val="001960D5"/>
    <w:rsid w:val="001978BF"/>
    <w:rsid w:val="001A0B84"/>
    <w:rsid w:val="001A6DDD"/>
    <w:rsid w:val="001A7CD2"/>
    <w:rsid w:val="001B0483"/>
    <w:rsid w:val="001B1F42"/>
    <w:rsid w:val="001B27B5"/>
    <w:rsid w:val="001B463C"/>
    <w:rsid w:val="001F206C"/>
    <w:rsid w:val="00202D76"/>
    <w:rsid w:val="0020383D"/>
    <w:rsid w:val="00203EDA"/>
    <w:rsid w:val="0020440A"/>
    <w:rsid w:val="00205593"/>
    <w:rsid w:val="00220576"/>
    <w:rsid w:val="002230E2"/>
    <w:rsid w:val="00224853"/>
    <w:rsid w:val="00230F1B"/>
    <w:rsid w:val="0024471F"/>
    <w:rsid w:val="00247B1C"/>
    <w:rsid w:val="0025490A"/>
    <w:rsid w:val="002674C7"/>
    <w:rsid w:val="00272FAB"/>
    <w:rsid w:val="002740C2"/>
    <w:rsid w:val="002757AE"/>
    <w:rsid w:val="002765E1"/>
    <w:rsid w:val="002774C3"/>
    <w:rsid w:val="00282276"/>
    <w:rsid w:val="00290B5B"/>
    <w:rsid w:val="00294339"/>
    <w:rsid w:val="00294BA6"/>
    <w:rsid w:val="002A0C9F"/>
    <w:rsid w:val="002A625B"/>
    <w:rsid w:val="002A7F3D"/>
    <w:rsid w:val="002B4068"/>
    <w:rsid w:val="002B6B8A"/>
    <w:rsid w:val="002C53B7"/>
    <w:rsid w:val="002C70DD"/>
    <w:rsid w:val="002D0097"/>
    <w:rsid w:val="002E1C7A"/>
    <w:rsid w:val="002F31D7"/>
    <w:rsid w:val="002F4CC2"/>
    <w:rsid w:val="002F527F"/>
    <w:rsid w:val="002F5977"/>
    <w:rsid w:val="002F76ED"/>
    <w:rsid w:val="00301BB5"/>
    <w:rsid w:val="00302C31"/>
    <w:rsid w:val="00311AC7"/>
    <w:rsid w:val="0032013E"/>
    <w:rsid w:val="00321C2C"/>
    <w:rsid w:val="00324E6A"/>
    <w:rsid w:val="00325AAA"/>
    <w:rsid w:val="003301BB"/>
    <w:rsid w:val="0033269E"/>
    <w:rsid w:val="003339B8"/>
    <w:rsid w:val="00342A92"/>
    <w:rsid w:val="00343883"/>
    <w:rsid w:val="003539AE"/>
    <w:rsid w:val="00356734"/>
    <w:rsid w:val="0036140A"/>
    <w:rsid w:val="00363606"/>
    <w:rsid w:val="0036371F"/>
    <w:rsid w:val="003719FC"/>
    <w:rsid w:val="00381252"/>
    <w:rsid w:val="00382D3B"/>
    <w:rsid w:val="00385FEE"/>
    <w:rsid w:val="003901AD"/>
    <w:rsid w:val="003915C7"/>
    <w:rsid w:val="00392B7E"/>
    <w:rsid w:val="003A4524"/>
    <w:rsid w:val="003B47AA"/>
    <w:rsid w:val="003C35C2"/>
    <w:rsid w:val="003C6014"/>
    <w:rsid w:val="003E1808"/>
    <w:rsid w:val="003E1F1E"/>
    <w:rsid w:val="003E219A"/>
    <w:rsid w:val="003E3FC6"/>
    <w:rsid w:val="003F2D83"/>
    <w:rsid w:val="003F4C91"/>
    <w:rsid w:val="003F5B1B"/>
    <w:rsid w:val="003F7952"/>
    <w:rsid w:val="00401282"/>
    <w:rsid w:val="00401843"/>
    <w:rsid w:val="00406519"/>
    <w:rsid w:val="004067EF"/>
    <w:rsid w:val="00407889"/>
    <w:rsid w:val="00410B27"/>
    <w:rsid w:val="00410BC4"/>
    <w:rsid w:val="004145AD"/>
    <w:rsid w:val="004150CB"/>
    <w:rsid w:val="00416142"/>
    <w:rsid w:val="00417A75"/>
    <w:rsid w:val="00421AA5"/>
    <w:rsid w:val="00431B58"/>
    <w:rsid w:val="00432071"/>
    <w:rsid w:val="004333A8"/>
    <w:rsid w:val="004357E7"/>
    <w:rsid w:val="0044315D"/>
    <w:rsid w:val="00454672"/>
    <w:rsid w:val="00457777"/>
    <w:rsid w:val="0045777F"/>
    <w:rsid w:val="004748F3"/>
    <w:rsid w:val="00487F41"/>
    <w:rsid w:val="00492B13"/>
    <w:rsid w:val="004950EB"/>
    <w:rsid w:val="004A1A78"/>
    <w:rsid w:val="004B162F"/>
    <w:rsid w:val="004B2105"/>
    <w:rsid w:val="004B4788"/>
    <w:rsid w:val="004C0B99"/>
    <w:rsid w:val="004C2A10"/>
    <w:rsid w:val="004C6080"/>
    <w:rsid w:val="004C7E82"/>
    <w:rsid w:val="004D1141"/>
    <w:rsid w:val="004D736C"/>
    <w:rsid w:val="004E0AAD"/>
    <w:rsid w:val="004F1137"/>
    <w:rsid w:val="004F116E"/>
    <w:rsid w:val="004F5F69"/>
    <w:rsid w:val="005004B7"/>
    <w:rsid w:val="00500619"/>
    <w:rsid w:val="00502082"/>
    <w:rsid w:val="005021A0"/>
    <w:rsid w:val="00510C68"/>
    <w:rsid w:val="00511485"/>
    <w:rsid w:val="00514318"/>
    <w:rsid w:val="0051786A"/>
    <w:rsid w:val="00520468"/>
    <w:rsid w:val="005314A5"/>
    <w:rsid w:val="005473C1"/>
    <w:rsid w:val="0055386D"/>
    <w:rsid w:val="00560B24"/>
    <w:rsid w:val="00561D3F"/>
    <w:rsid w:val="0057514C"/>
    <w:rsid w:val="005765E9"/>
    <w:rsid w:val="00581F57"/>
    <w:rsid w:val="00583B56"/>
    <w:rsid w:val="005874ED"/>
    <w:rsid w:val="005A4A95"/>
    <w:rsid w:val="005B1697"/>
    <w:rsid w:val="005B195F"/>
    <w:rsid w:val="005B43FD"/>
    <w:rsid w:val="005B4EB6"/>
    <w:rsid w:val="005C24B3"/>
    <w:rsid w:val="005C4D40"/>
    <w:rsid w:val="005C680C"/>
    <w:rsid w:val="005C6CC8"/>
    <w:rsid w:val="005D664E"/>
    <w:rsid w:val="005D67AE"/>
    <w:rsid w:val="005E0B48"/>
    <w:rsid w:val="005E48D8"/>
    <w:rsid w:val="005E5744"/>
    <w:rsid w:val="005F0A00"/>
    <w:rsid w:val="005F0C6D"/>
    <w:rsid w:val="005F2F1C"/>
    <w:rsid w:val="005F6A7C"/>
    <w:rsid w:val="005F6EA4"/>
    <w:rsid w:val="006019B1"/>
    <w:rsid w:val="00616FD0"/>
    <w:rsid w:val="0063658E"/>
    <w:rsid w:val="00640ED2"/>
    <w:rsid w:val="00641160"/>
    <w:rsid w:val="00642077"/>
    <w:rsid w:val="00644948"/>
    <w:rsid w:val="00655C65"/>
    <w:rsid w:val="00655E86"/>
    <w:rsid w:val="00656E27"/>
    <w:rsid w:val="00670161"/>
    <w:rsid w:val="0067270E"/>
    <w:rsid w:val="00677F18"/>
    <w:rsid w:val="006819B2"/>
    <w:rsid w:val="00682F02"/>
    <w:rsid w:val="00685A58"/>
    <w:rsid w:val="006863B6"/>
    <w:rsid w:val="006952E7"/>
    <w:rsid w:val="006A5D62"/>
    <w:rsid w:val="006A6C58"/>
    <w:rsid w:val="006B18B2"/>
    <w:rsid w:val="006B1F4C"/>
    <w:rsid w:val="006D4E36"/>
    <w:rsid w:val="006D6E55"/>
    <w:rsid w:val="006E320D"/>
    <w:rsid w:val="006F17D9"/>
    <w:rsid w:val="006F205A"/>
    <w:rsid w:val="006F7A4F"/>
    <w:rsid w:val="00700839"/>
    <w:rsid w:val="00705E9F"/>
    <w:rsid w:val="007148AA"/>
    <w:rsid w:val="007207A7"/>
    <w:rsid w:val="00723EC2"/>
    <w:rsid w:val="00725149"/>
    <w:rsid w:val="00737D02"/>
    <w:rsid w:val="00742892"/>
    <w:rsid w:val="007440F3"/>
    <w:rsid w:val="00746253"/>
    <w:rsid w:val="007541F8"/>
    <w:rsid w:val="00761E5B"/>
    <w:rsid w:val="00771F1C"/>
    <w:rsid w:val="0078038F"/>
    <w:rsid w:val="00786001"/>
    <w:rsid w:val="007946DE"/>
    <w:rsid w:val="007964DB"/>
    <w:rsid w:val="007A4DCC"/>
    <w:rsid w:val="007A74D8"/>
    <w:rsid w:val="007B496A"/>
    <w:rsid w:val="007B57C5"/>
    <w:rsid w:val="007B7B19"/>
    <w:rsid w:val="007B7D3F"/>
    <w:rsid w:val="007C516C"/>
    <w:rsid w:val="007D1D66"/>
    <w:rsid w:val="007E277C"/>
    <w:rsid w:val="007E3B18"/>
    <w:rsid w:val="007E3CE5"/>
    <w:rsid w:val="00801C87"/>
    <w:rsid w:val="0080416F"/>
    <w:rsid w:val="00806635"/>
    <w:rsid w:val="00812A5D"/>
    <w:rsid w:val="008133DE"/>
    <w:rsid w:val="008152B2"/>
    <w:rsid w:val="00815868"/>
    <w:rsid w:val="00825A47"/>
    <w:rsid w:val="0083669F"/>
    <w:rsid w:val="008410CC"/>
    <w:rsid w:val="00843CD9"/>
    <w:rsid w:val="00846849"/>
    <w:rsid w:val="00855E7C"/>
    <w:rsid w:val="00866B25"/>
    <w:rsid w:val="00872F27"/>
    <w:rsid w:val="0089537C"/>
    <w:rsid w:val="008962C2"/>
    <w:rsid w:val="008962DE"/>
    <w:rsid w:val="008B0D0B"/>
    <w:rsid w:val="008B0F3F"/>
    <w:rsid w:val="008B1409"/>
    <w:rsid w:val="008B1E13"/>
    <w:rsid w:val="008B2CE8"/>
    <w:rsid w:val="008B5A82"/>
    <w:rsid w:val="008C04E7"/>
    <w:rsid w:val="008C2D26"/>
    <w:rsid w:val="008C3CFE"/>
    <w:rsid w:val="008D2A4C"/>
    <w:rsid w:val="008D364C"/>
    <w:rsid w:val="008F147A"/>
    <w:rsid w:val="008F394D"/>
    <w:rsid w:val="009012F1"/>
    <w:rsid w:val="009118DC"/>
    <w:rsid w:val="00911BD5"/>
    <w:rsid w:val="00912060"/>
    <w:rsid w:val="00917E08"/>
    <w:rsid w:val="00917F6F"/>
    <w:rsid w:val="00921004"/>
    <w:rsid w:val="009215CB"/>
    <w:rsid w:val="00925812"/>
    <w:rsid w:val="00925D4D"/>
    <w:rsid w:val="0093477E"/>
    <w:rsid w:val="009408CF"/>
    <w:rsid w:val="009466C1"/>
    <w:rsid w:val="009470A9"/>
    <w:rsid w:val="009476BA"/>
    <w:rsid w:val="00947C5D"/>
    <w:rsid w:val="0095030E"/>
    <w:rsid w:val="00951899"/>
    <w:rsid w:val="0095328F"/>
    <w:rsid w:val="00960CCB"/>
    <w:rsid w:val="00962771"/>
    <w:rsid w:val="009640D1"/>
    <w:rsid w:val="00966E9C"/>
    <w:rsid w:val="00966EBB"/>
    <w:rsid w:val="009744B5"/>
    <w:rsid w:val="00974985"/>
    <w:rsid w:val="009755C5"/>
    <w:rsid w:val="00980686"/>
    <w:rsid w:val="00983954"/>
    <w:rsid w:val="00983DD3"/>
    <w:rsid w:val="00986669"/>
    <w:rsid w:val="0099061A"/>
    <w:rsid w:val="0099359A"/>
    <w:rsid w:val="0099678F"/>
    <w:rsid w:val="009A340E"/>
    <w:rsid w:val="009A3C23"/>
    <w:rsid w:val="009A4788"/>
    <w:rsid w:val="009A55E8"/>
    <w:rsid w:val="009B04FD"/>
    <w:rsid w:val="009B2962"/>
    <w:rsid w:val="009B42BD"/>
    <w:rsid w:val="009C0835"/>
    <w:rsid w:val="009C1F23"/>
    <w:rsid w:val="009D0470"/>
    <w:rsid w:val="009D6C39"/>
    <w:rsid w:val="009E128B"/>
    <w:rsid w:val="009E37A4"/>
    <w:rsid w:val="009F1EBE"/>
    <w:rsid w:val="009F372D"/>
    <w:rsid w:val="00A21437"/>
    <w:rsid w:val="00A230A7"/>
    <w:rsid w:val="00A255B3"/>
    <w:rsid w:val="00A25627"/>
    <w:rsid w:val="00A3378D"/>
    <w:rsid w:val="00A476BA"/>
    <w:rsid w:val="00A53BA3"/>
    <w:rsid w:val="00A57BF2"/>
    <w:rsid w:val="00A61974"/>
    <w:rsid w:val="00A6242D"/>
    <w:rsid w:val="00A65951"/>
    <w:rsid w:val="00A87E48"/>
    <w:rsid w:val="00AA0356"/>
    <w:rsid w:val="00AA1C5D"/>
    <w:rsid w:val="00AB13E7"/>
    <w:rsid w:val="00AB265C"/>
    <w:rsid w:val="00AC2EAF"/>
    <w:rsid w:val="00AC5844"/>
    <w:rsid w:val="00AD4DB7"/>
    <w:rsid w:val="00AD5E9F"/>
    <w:rsid w:val="00AD62C5"/>
    <w:rsid w:val="00AF1776"/>
    <w:rsid w:val="00AF4DF9"/>
    <w:rsid w:val="00B02692"/>
    <w:rsid w:val="00B04DE0"/>
    <w:rsid w:val="00B051D9"/>
    <w:rsid w:val="00B06110"/>
    <w:rsid w:val="00B06258"/>
    <w:rsid w:val="00B07B98"/>
    <w:rsid w:val="00B14F10"/>
    <w:rsid w:val="00B15F2C"/>
    <w:rsid w:val="00B16891"/>
    <w:rsid w:val="00B16F9C"/>
    <w:rsid w:val="00B46D1C"/>
    <w:rsid w:val="00B4788E"/>
    <w:rsid w:val="00B56589"/>
    <w:rsid w:val="00B678DA"/>
    <w:rsid w:val="00B707DB"/>
    <w:rsid w:val="00B716B3"/>
    <w:rsid w:val="00B733A8"/>
    <w:rsid w:val="00B77956"/>
    <w:rsid w:val="00B952C2"/>
    <w:rsid w:val="00B953D2"/>
    <w:rsid w:val="00BA0973"/>
    <w:rsid w:val="00BA3AEB"/>
    <w:rsid w:val="00BB111E"/>
    <w:rsid w:val="00BB1B12"/>
    <w:rsid w:val="00BB4505"/>
    <w:rsid w:val="00BB61F5"/>
    <w:rsid w:val="00BC5676"/>
    <w:rsid w:val="00BE1045"/>
    <w:rsid w:val="00BE15A2"/>
    <w:rsid w:val="00BE5DFA"/>
    <w:rsid w:val="00BF6130"/>
    <w:rsid w:val="00BF7034"/>
    <w:rsid w:val="00C01A69"/>
    <w:rsid w:val="00C10974"/>
    <w:rsid w:val="00C135C4"/>
    <w:rsid w:val="00C16FDA"/>
    <w:rsid w:val="00C43B3B"/>
    <w:rsid w:val="00C53308"/>
    <w:rsid w:val="00C64BCA"/>
    <w:rsid w:val="00C653CC"/>
    <w:rsid w:val="00C660BA"/>
    <w:rsid w:val="00C72B13"/>
    <w:rsid w:val="00C82351"/>
    <w:rsid w:val="00C83DA8"/>
    <w:rsid w:val="00C8625B"/>
    <w:rsid w:val="00CA392C"/>
    <w:rsid w:val="00CA7A74"/>
    <w:rsid w:val="00CB11B1"/>
    <w:rsid w:val="00CB1890"/>
    <w:rsid w:val="00CB769C"/>
    <w:rsid w:val="00CC2381"/>
    <w:rsid w:val="00CD6C68"/>
    <w:rsid w:val="00CE0ECC"/>
    <w:rsid w:val="00CE24FF"/>
    <w:rsid w:val="00CE3C70"/>
    <w:rsid w:val="00CE5B97"/>
    <w:rsid w:val="00D0017A"/>
    <w:rsid w:val="00D02461"/>
    <w:rsid w:val="00D025F4"/>
    <w:rsid w:val="00D04AC2"/>
    <w:rsid w:val="00D06106"/>
    <w:rsid w:val="00D13F6A"/>
    <w:rsid w:val="00D15539"/>
    <w:rsid w:val="00D21788"/>
    <w:rsid w:val="00D30826"/>
    <w:rsid w:val="00D31FBD"/>
    <w:rsid w:val="00D32557"/>
    <w:rsid w:val="00D354AF"/>
    <w:rsid w:val="00D44CD3"/>
    <w:rsid w:val="00D45810"/>
    <w:rsid w:val="00D5595B"/>
    <w:rsid w:val="00D55D7D"/>
    <w:rsid w:val="00D57022"/>
    <w:rsid w:val="00D5779E"/>
    <w:rsid w:val="00D5797B"/>
    <w:rsid w:val="00D60815"/>
    <w:rsid w:val="00D608A2"/>
    <w:rsid w:val="00D644CD"/>
    <w:rsid w:val="00D679A2"/>
    <w:rsid w:val="00D75AAB"/>
    <w:rsid w:val="00D8707C"/>
    <w:rsid w:val="00D873EE"/>
    <w:rsid w:val="00D96B9A"/>
    <w:rsid w:val="00DA0D7A"/>
    <w:rsid w:val="00DA5665"/>
    <w:rsid w:val="00DA70E7"/>
    <w:rsid w:val="00DA7E25"/>
    <w:rsid w:val="00DB4501"/>
    <w:rsid w:val="00DB71A1"/>
    <w:rsid w:val="00DB77B6"/>
    <w:rsid w:val="00DC5085"/>
    <w:rsid w:val="00DC657D"/>
    <w:rsid w:val="00DD1B13"/>
    <w:rsid w:val="00DE0BA4"/>
    <w:rsid w:val="00DE1F5C"/>
    <w:rsid w:val="00DE5018"/>
    <w:rsid w:val="00DF0835"/>
    <w:rsid w:val="00DF184E"/>
    <w:rsid w:val="00DF34CB"/>
    <w:rsid w:val="00DF7815"/>
    <w:rsid w:val="00E00722"/>
    <w:rsid w:val="00E071FC"/>
    <w:rsid w:val="00E07FAE"/>
    <w:rsid w:val="00E14AE5"/>
    <w:rsid w:val="00E277EA"/>
    <w:rsid w:val="00E27F71"/>
    <w:rsid w:val="00E311CF"/>
    <w:rsid w:val="00E321D4"/>
    <w:rsid w:val="00E32353"/>
    <w:rsid w:val="00E66289"/>
    <w:rsid w:val="00E7210D"/>
    <w:rsid w:val="00E85D1E"/>
    <w:rsid w:val="00EA2D33"/>
    <w:rsid w:val="00EA6B54"/>
    <w:rsid w:val="00EB2E21"/>
    <w:rsid w:val="00EC018A"/>
    <w:rsid w:val="00ED2350"/>
    <w:rsid w:val="00ED35C8"/>
    <w:rsid w:val="00EE2586"/>
    <w:rsid w:val="00EE328C"/>
    <w:rsid w:val="00EE5649"/>
    <w:rsid w:val="00EE59EA"/>
    <w:rsid w:val="00EE6A4F"/>
    <w:rsid w:val="00EE7142"/>
    <w:rsid w:val="00EF1E8A"/>
    <w:rsid w:val="00EF1F6C"/>
    <w:rsid w:val="00F0074E"/>
    <w:rsid w:val="00F0292E"/>
    <w:rsid w:val="00F02CAD"/>
    <w:rsid w:val="00F05DFA"/>
    <w:rsid w:val="00F16538"/>
    <w:rsid w:val="00F217AB"/>
    <w:rsid w:val="00F2192D"/>
    <w:rsid w:val="00F24924"/>
    <w:rsid w:val="00F34AB9"/>
    <w:rsid w:val="00F368DC"/>
    <w:rsid w:val="00F46CCC"/>
    <w:rsid w:val="00F57DF5"/>
    <w:rsid w:val="00F65AC5"/>
    <w:rsid w:val="00F65B76"/>
    <w:rsid w:val="00F73CEB"/>
    <w:rsid w:val="00F747FC"/>
    <w:rsid w:val="00F775C4"/>
    <w:rsid w:val="00F77880"/>
    <w:rsid w:val="00F9409A"/>
    <w:rsid w:val="00FA2204"/>
    <w:rsid w:val="00FA2A7A"/>
    <w:rsid w:val="00FB1EC4"/>
    <w:rsid w:val="00FB23A1"/>
    <w:rsid w:val="00FC1121"/>
    <w:rsid w:val="00FC11D1"/>
    <w:rsid w:val="00FD1055"/>
    <w:rsid w:val="00FD7B2C"/>
    <w:rsid w:val="00FE236C"/>
    <w:rsid w:val="00FE3864"/>
    <w:rsid w:val="00FE5C2F"/>
    <w:rsid w:val="00FF3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78D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678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qFormat/>
    <w:rsid w:val="00B678DA"/>
    <w:rPr>
      <w:sz w:val="18"/>
      <w:szCs w:val="18"/>
    </w:rPr>
  </w:style>
  <w:style w:type="paragraph" w:styleId="a5">
    <w:name w:val="footer"/>
    <w:basedOn w:val="a"/>
    <w:link w:val="Char0"/>
    <w:uiPriority w:val="99"/>
    <w:unhideWhenUsed/>
    <w:qFormat/>
    <w:rsid w:val="00B678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B678DA"/>
    <w:rPr>
      <w:sz w:val="18"/>
      <w:szCs w:val="18"/>
    </w:rPr>
  </w:style>
  <w:style w:type="paragraph" w:styleId="a6">
    <w:name w:val="Plain Text"/>
    <w:basedOn w:val="a"/>
    <w:link w:val="Char1"/>
    <w:uiPriority w:val="99"/>
    <w:qFormat/>
    <w:rsid w:val="00B678DA"/>
    <w:rPr>
      <w:rFonts w:ascii="宋体" w:hAnsi="Courier New"/>
      <w:kern w:val="0"/>
      <w:sz w:val="20"/>
      <w:szCs w:val="20"/>
    </w:rPr>
  </w:style>
  <w:style w:type="character" w:customStyle="1" w:styleId="Char1">
    <w:name w:val="纯文本 Char"/>
    <w:basedOn w:val="a1"/>
    <w:link w:val="a6"/>
    <w:uiPriority w:val="99"/>
    <w:qFormat/>
    <w:rsid w:val="00B678DA"/>
    <w:rPr>
      <w:rFonts w:ascii="宋体" w:eastAsia="宋体" w:hAnsi="Courier New" w:cs="Times New Roman"/>
      <w:kern w:val="0"/>
      <w:sz w:val="20"/>
      <w:szCs w:val="20"/>
    </w:rPr>
  </w:style>
  <w:style w:type="character" w:styleId="a7">
    <w:name w:val="page number"/>
    <w:basedOn w:val="a1"/>
    <w:qFormat/>
    <w:rsid w:val="00B678DA"/>
  </w:style>
  <w:style w:type="paragraph" w:styleId="a0">
    <w:name w:val="Body Text Indent"/>
    <w:basedOn w:val="a"/>
    <w:link w:val="Char2"/>
    <w:uiPriority w:val="99"/>
    <w:semiHidden/>
    <w:unhideWhenUsed/>
    <w:rsid w:val="00B678DA"/>
    <w:pPr>
      <w:spacing w:after="120"/>
      <w:ind w:leftChars="200" w:left="420"/>
    </w:pPr>
  </w:style>
  <w:style w:type="character" w:customStyle="1" w:styleId="Char2">
    <w:name w:val="正文文本缩进 Char"/>
    <w:basedOn w:val="a1"/>
    <w:link w:val="a0"/>
    <w:uiPriority w:val="99"/>
    <w:semiHidden/>
    <w:rsid w:val="00B678D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135</Words>
  <Characters>770</Characters>
  <Application>Microsoft Office Word</Application>
  <DocSecurity>0</DocSecurity>
  <Lines>6</Lines>
  <Paragraphs>1</Paragraphs>
  <ScaleCrop>false</ScaleCrop>
  <Company>微软公司</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5</cp:revision>
  <dcterms:created xsi:type="dcterms:W3CDTF">2023-07-05T02:37:00Z</dcterms:created>
  <dcterms:modified xsi:type="dcterms:W3CDTF">2023-07-14T06:26:00Z</dcterms:modified>
</cp:coreProperties>
</file>