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6D24B">
      <w:pPr>
        <w:pStyle w:val="2"/>
        <w:keepNext w:val="0"/>
        <w:keepLines w:val="0"/>
        <w:widowControl/>
        <w:suppressLineNumbers w:val="0"/>
        <w:spacing w:before="300" w:beforeAutospacing="0" w:after="452" w:afterAutospacing="0" w:line="30" w:lineRule="atLeast"/>
        <w:ind w:left="0" w:right="0"/>
        <w:jc w:val="center"/>
        <w:rPr>
          <w:sz w:val="24"/>
          <w:szCs w:val="24"/>
        </w:rPr>
      </w:pPr>
      <w:r>
        <w:rPr>
          <w:rFonts w:ascii="微软雅黑" w:hAnsi="微软雅黑" w:eastAsia="微软雅黑" w:cs="微软雅黑"/>
          <w:b/>
          <w:bCs/>
          <w:i w:val="0"/>
          <w:iCs w:val="0"/>
          <w:caps w:val="0"/>
          <w:color w:val="333333"/>
          <w:spacing w:val="0"/>
          <w:sz w:val="30"/>
          <w:szCs w:val="30"/>
          <w:shd w:val="clear" w:fill="FFFFFF"/>
        </w:rPr>
        <w:t>国务院关税税则委员会关于对原产于美国的进口商品加征关税的公告</w:t>
      </w:r>
      <w:r>
        <w:rPr>
          <w:rFonts w:hint="eastAsia" w:ascii="微软雅黑" w:hAnsi="微软雅黑" w:eastAsia="微软雅黑" w:cs="微软雅黑"/>
          <w:b/>
          <w:bCs/>
          <w:i w:val="0"/>
          <w:iCs w:val="0"/>
          <w:caps w:val="0"/>
          <w:color w:val="333333"/>
          <w:spacing w:val="0"/>
          <w:sz w:val="30"/>
          <w:szCs w:val="30"/>
          <w:shd w:val="clear" w:fill="FFFFFF"/>
        </w:rPr>
        <w:t>  </w:t>
      </w:r>
    </w:p>
    <w:p w14:paraId="2FFFB9A3">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jc w:val="both"/>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2025年4月2日，美国政府宣布对中国输美商品征收“对等关税”。美方做法不符合国际贸易规则，严重损害中方的正当合法权益，是典型的单边霸凌做法。  </w:t>
      </w:r>
    </w:p>
    <w:p w14:paraId="4BD321DF">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jc w:val="both"/>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根据《中华人民共和国关税法》、《中华人民共和国海关法》、《中华人民共和国对外贸易法》等法律法规和国际法基本原则，经国务院批准，自2025年4月10日12时01分起，对原产于美国的进口商品加征关税。有关事项如下：  </w:t>
      </w:r>
    </w:p>
    <w:p w14:paraId="683A1F5E">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jc w:val="both"/>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一、对原产于美国的所有进口商品，在现行适用关税税率基础上加征34%关税。  </w:t>
      </w:r>
    </w:p>
    <w:p w14:paraId="197DF7CB">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jc w:val="both"/>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二、现行保税、减免税政策不变，此次加征的关税不予减免。  </w:t>
      </w:r>
    </w:p>
    <w:p w14:paraId="41CBA97C">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jc w:val="both"/>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三、2025年4月10日12时01分之前，货物已从启运地启运，并于2025年4月10日12时01分至2025年5月13日24时进口的，不加征本公告规定加征的关税。  </w:t>
      </w:r>
    </w:p>
    <w:p w14:paraId="3A2BD48D">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jc w:val="both"/>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75603038">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jc w:val="right"/>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　　国务院关税税则委员会 </w:t>
      </w:r>
    </w:p>
    <w:p w14:paraId="1D5A3A54">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0" w:right="0"/>
        <w:jc w:val="right"/>
        <w:textAlignment w:val="auto"/>
      </w:pPr>
      <w:r>
        <w:rPr>
          <w:rFonts w:hint="eastAsia" w:ascii="微软雅黑" w:hAnsi="微软雅黑" w:eastAsia="微软雅黑" w:cs="微软雅黑"/>
          <w:i w:val="0"/>
          <w:iCs w:val="0"/>
          <w:caps w:val="0"/>
          <w:color w:val="333333"/>
          <w:spacing w:val="0"/>
          <w:sz w:val="24"/>
          <w:szCs w:val="24"/>
          <w:shd w:val="clear" w:fill="FFFFFF"/>
        </w:rPr>
        <w:t>　　2025年4月4日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23444"/>
    <w:rsid w:val="77A2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2025-05-27T07:00:00Z</dcterms:created>
  <dc:creator>韩铭奇</dc:creator>
  <cp:lastModifiedBy>韩铭奇</cp:lastModifiedBy>
  <dcterms:modified xsi:type="dcterms:W3CDTF">2025-05-27T07:02:13Z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7701C17071C14E2A902C07FD1808A636_11</vt:lpwstr>
  </property>
  <property fmtid="{D5CDD505-2E9C-101B-9397-08002B2CF9AE}" pid="4" name="KSOTemplateDocerSaveRecord">
    <vt:lpwstr>eyJoZGlkIjoiNjcyZDJkNTZhYTMxM2E5ODA4OWZmMWMwMDEwNWMyNGMiLCJ1c2VySWQiOiIxNjc0NDY0MTg5In0=</vt:lpwstr>
  </property>
</Properties>
</file>